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4286" w14:textId="77777777" w:rsidR="005D0D37" w:rsidRDefault="005D0D37" w:rsidP="005D0D37">
      <w:pPr>
        <w:spacing w:line="276" w:lineRule="auto"/>
        <w:ind w:right="-46"/>
        <w:jc w:val="both"/>
        <w:rPr>
          <w:rFonts w:ascii="Arial" w:eastAsia="Times New Roman" w:hAnsi="Arial" w:cs="Arial"/>
          <w:b/>
          <w:color w:val="1074CB"/>
          <w:sz w:val="44"/>
        </w:rPr>
      </w:pPr>
      <w:bookmarkStart w:id="0" w:name="_Hlk95809398"/>
      <w:r>
        <w:rPr>
          <w:rFonts w:ascii="Arial" w:eastAsia="Times New Roman" w:hAnsi="Arial" w:cs="Arial"/>
          <w:b/>
          <w:color w:val="1074CB"/>
          <w:sz w:val="44"/>
        </w:rPr>
        <w:t>HEAVY GOODS VEHICLE</w:t>
      </w:r>
      <w:r w:rsidRPr="00457981">
        <w:rPr>
          <w:rFonts w:ascii="Arial" w:eastAsia="Times New Roman" w:hAnsi="Arial" w:cs="Arial"/>
          <w:b/>
          <w:color w:val="1074CB"/>
          <w:sz w:val="44"/>
        </w:rPr>
        <w:t xml:space="preserve"> REGISTRATIONS</w:t>
      </w:r>
    </w:p>
    <w:p w14:paraId="0B9ACBF9" w14:textId="77777777" w:rsidR="005D0D37" w:rsidRPr="00AD5D87" w:rsidRDefault="005D0D37" w:rsidP="005D0D37">
      <w:pPr>
        <w:spacing w:line="276" w:lineRule="auto"/>
        <w:ind w:right="-46"/>
        <w:jc w:val="both"/>
        <w:rPr>
          <w:rFonts w:ascii="Arial" w:eastAsia="Times New Roman" w:hAnsi="Arial" w:cs="Arial"/>
          <w:b/>
          <w:color w:val="1074CB"/>
          <w:sz w:val="44"/>
        </w:rPr>
      </w:pPr>
      <w:r>
        <w:rPr>
          <w:rFonts w:ascii="Arial" w:eastAsia="Times New Roman" w:hAnsi="Arial" w:cs="Arial"/>
          <w:color w:val="1074CB"/>
          <w:sz w:val="40"/>
        </w:rPr>
        <w:t>17 February</w:t>
      </w:r>
      <w:r w:rsidRPr="00C721BE">
        <w:rPr>
          <w:rFonts w:ascii="Arial" w:hAnsi="Arial" w:cs="Arial"/>
          <w:color w:val="1074CB"/>
          <w:sz w:val="40"/>
        </w:rPr>
        <w:t xml:space="preserve"> 20</w:t>
      </w:r>
      <w:r>
        <w:rPr>
          <w:rFonts w:ascii="Arial" w:hAnsi="Arial" w:cs="Arial"/>
          <w:color w:val="1074CB"/>
          <w:sz w:val="40"/>
        </w:rPr>
        <w:t>22</w:t>
      </w:r>
      <w:r w:rsidRPr="00492F3C">
        <w:rPr>
          <w:rFonts w:ascii="Arial" w:hAnsi="Arial" w:cs="Arial"/>
          <w:b/>
          <w:color w:val="1074CB"/>
          <w:szCs w:val="28"/>
        </w:rPr>
        <w:t xml:space="preserve"> </w:t>
      </w:r>
      <w:r w:rsidRPr="00492F3C">
        <w:rPr>
          <w:rFonts w:ascii="Arial" w:hAnsi="Arial" w:cs="Arial"/>
          <w:color w:val="1074CB"/>
          <w:sz w:val="32"/>
          <w:szCs w:val="28"/>
        </w:rPr>
        <w:t xml:space="preserve">(data for </w:t>
      </w:r>
      <w:r>
        <w:rPr>
          <w:rFonts w:ascii="Arial" w:hAnsi="Arial" w:cs="Arial"/>
          <w:color w:val="1074CB"/>
          <w:sz w:val="32"/>
          <w:szCs w:val="28"/>
        </w:rPr>
        <w:t>Q4 and full year 2021</w:t>
      </w:r>
      <w:r w:rsidRPr="00492F3C">
        <w:rPr>
          <w:rFonts w:ascii="Arial" w:hAnsi="Arial" w:cs="Arial"/>
          <w:color w:val="1074CB"/>
          <w:sz w:val="32"/>
          <w:szCs w:val="28"/>
        </w:rPr>
        <w:t>)</w:t>
      </w:r>
    </w:p>
    <w:p w14:paraId="4C8FD943" w14:textId="77777777" w:rsidR="005D0D37" w:rsidRDefault="005D0D37" w:rsidP="005D0D37">
      <w:pPr>
        <w:autoSpaceDE w:val="0"/>
        <w:autoSpaceDN w:val="0"/>
        <w:spacing w:line="276" w:lineRule="auto"/>
        <w:jc w:val="both"/>
        <w:rPr>
          <w:rFonts w:ascii="Arial" w:hAnsi="Arial" w:cs="Arial"/>
          <w:b/>
          <w:bCs/>
          <w:color w:val="0070C0"/>
          <w:sz w:val="32"/>
          <w:szCs w:val="32"/>
        </w:rPr>
      </w:pPr>
    </w:p>
    <w:p w14:paraId="458EB5F5" w14:textId="77777777" w:rsidR="005D0D37" w:rsidRDefault="005D0D37" w:rsidP="005D0D37">
      <w:pPr>
        <w:autoSpaceDE w:val="0"/>
        <w:autoSpaceDN w:val="0"/>
        <w:spacing w:line="276" w:lineRule="auto"/>
        <w:jc w:val="both"/>
        <w:rPr>
          <w:rFonts w:ascii="Calibri" w:eastAsiaTheme="minorHAnsi" w:hAnsi="Calibri"/>
          <w:sz w:val="22"/>
        </w:rPr>
      </w:pPr>
      <w:r>
        <w:rPr>
          <w:rFonts w:ascii="Arial" w:hAnsi="Arial" w:cs="Arial"/>
          <w:b/>
          <w:bCs/>
          <w:color w:val="0070C0"/>
          <w:sz w:val="32"/>
          <w:szCs w:val="32"/>
        </w:rPr>
        <w:t>HGV market accelerates 12.9% in 2021 to defy supply challenge</w:t>
      </w:r>
    </w:p>
    <w:p w14:paraId="0EE750F2" w14:textId="77777777" w:rsidR="005D0D37" w:rsidRDefault="005D0D37" w:rsidP="005D0D37">
      <w:pPr>
        <w:autoSpaceDE w:val="0"/>
        <w:autoSpaceDN w:val="0"/>
        <w:spacing w:line="276" w:lineRule="auto"/>
        <w:jc w:val="both"/>
        <w:rPr>
          <w:rFonts w:cs="Times"/>
          <w:szCs w:val="24"/>
        </w:rPr>
      </w:pPr>
      <w:r>
        <w:rPr>
          <w:rFonts w:ascii="Arial" w:hAnsi="Arial" w:cs="Arial"/>
          <w:b/>
          <w:bCs/>
          <w:color w:val="1074CB"/>
        </w:rPr>
        <w:t> </w:t>
      </w:r>
    </w:p>
    <w:p w14:paraId="5B191EB1" w14:textId="77777777" w:rsidR="005D0D37" w:rsidRPr="00187F13" w:rsidRDefault="005D0D37" w:rsidP="005D0D37">
      <w:pPr>
        <w:pStyle w:val="ListParagraph"/>
        <w:numPr>
          <w:ilvl w:val="0"/>
          <w:numId w:val="26"/>
        </w:numPr>
        <w:autoSpaceDE w:val="0"/>
        <w:autoSpaceDN w:val="0"/>
        <w:spacing w:line="276" w:lineRule="auto"/>
        <w:jc w:val="both"/>
        <w:rPr>
          <w:szCs w:val="24"/>
        </w:rPr>
      </w:pPr>
      <w:r w:rsidRPr="00187F13">
        <w:rPr>
          <w:rFonts w:ascii="Arial" w:hAnsi="Arial" w:cs="Arial"/>
          <w:sz w:val="20"/>
        </w:rPr>
        <w:t>UK new HGV registrations increase to 37,163 (+12.9%) as market gains ground after locked down 2020.</w:t>
      </w:r>
    </w:p>
    <w:p w14:paraId="6DBB50C7" w14:textId="77777777" w:rsidR="005D0D37" w:rsidRPr="00187F13" w:rsidRDefault="005D0D37" w:rsidP="005D0D37">
      <w:pPr>
        <w:pStyle w:val="ListParagraph"/>
        <w:numPr>
          <w:ilvl w:val="0"/>
          <w:numId w:val="26"/>
        </w:numPr>
        <w:autoSpaceDE w:val="0"/>
        <w:autoSpaceDN w:val="0"/>
        <w:spacing w:line="276" w:lineRule="auto"/>
        <w:jc w:val="both"/>
      </w:pPr>
      <w:r w:rsidRPr="00187F13">
        <w:rPr>
          <w:rFonts w:ascii="Arial" w:hAnsi="Arial" w:cs="Arial"/>
          <w:sz w:val="20"/>
        </w:rPr>
        <w:t>Supply chain constraints see market end -</w:t>
      </w:r>
      <w:r>
        <w:rPr>
          <w:rFonts w:ascii="Arial" w:hAnsi="Arial" w:cs="Arial"/>
          <w:sz w:val="20"/>
        </w:rPr>
        <w:t>16.9</w:t>
      </w:r>
      <w:r w:rsidRPr="00187F13">
        <w:rPr>
          <w:rFonts w:ascii="Arial" w:hAnsi="Arial" w:cs="Arial"/>
          <w:sz w:val="20"/>
        </w:rPr>
        <w:t>% down on pre-pandemic average.</w:t>
      </w:r>
    </w:p>
    <w:p w14:paraId="4616D263" w14:textId="77777777" w:rsidR="005D0D37" w:rsidRPr="002D67FF" w:rsidRDefault="005D0D37" w:rsidP="005D0D37">
      <w:pPr>
        <w:pStyle w:val="ListParagraph"/>
        <w:numPr>
          <w:ilvl w:val="0"/>
          <w:numId w:val="26"/>
        </w:numPr>
        <w:autoSpaceDE w:val="0"/>
        <w:autoSpaceDN w:val="0"/>
        <w:spacing w:line="276" w:lineRule="auto"/>
        <w:jc w:val="both"/>
      </w:pPr>
      <w:r w:rsidRPr="00187F13">
        <w:rPr>
          <w:rFonts w:ascii="Arial" w:hAnsi="Arial" w:cs="Arial"/>
          <w:sz w:val="20"/>
        </w:rPr>
        <w:t>Industry calls for clear plan to drive transition to zero emission vehicles and maintain fleet operator confidence.</w:t>
      </w:r>
      <w:r>
        <w:rPr>
          <w:rFonts w:ascii="Arial" w:hAnsi="Arial" w:cs="Arial"/>
          <w:sz w:val="20"/>
        </w:rPr>
        <w:br/>
      </w:r>
    </w:p>
    <w:p w14:paraId="7491EF9C" w14:textId="77777777" w:rsidR="005D0D37" w:rsidRDefault="005D0D37" w:rsidP="005D0D37">
      <w:pPr>
        <w:autoSpaceDE w:val="0"/>
        <w:autoSpaceDN w:val="0"/>
        <w:spacing w:line="276" w:lineRule="auto"/>
        <w:jc w:val="both"/>
      </w:pPr>
      <w:r>
        <w:rPr>
          <w:noProof/>
        </w:rPr>
        <w:drawing>
          <wp:inline distT="0" distB="0" distL="0" distR="0" wp14:anchorId="5BF69AEA" wp14:editId="1EA1DE1F">
            <wp:extent cx="5976620" cy="1020133"/>
            <wp:effectExtent l="0" t="0" r="5080" b="8890"/>
            <wp:docPr id="7" name="Picture 7"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calenda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6620" cy="1020133"/>
                    </a:xfrm>
                    <a:prstGeom prst="rect">
                      <a:avLst/>
                    </a:prstGeom>
                    <a:noFill/>
                    <a:ln>
                      <a:noFill/>
                    </a:ln>
                  </pic:spPr>
                </pic:pic>
              </a:graphicData>
            </a:graphic>
          </wp:inline>
        </w:drawing>
      </w:r>
    </w:p>
    <w:p w14:paraId="1DA23719" w14:textId="77777777" w:rsidR="005D0D37" w:rsidRPr="00B45BFE" w:rsidRDefault="005D0D37" w:rsidP="005D0D37">
      <w:pPr>
        <w:autoSpaceDE w:val="0"/>
        <w:autoSpaceDN w:val="0"/>
        <w:spacing w:line="276" w:lineRule="auto"/>
        <w:jc w:val="both"/>
      </w:pPr>
    </w:p>
    <w:p w14:paraId="732884A2" w14:textId="77777777" w:rsidR="005D0D37" w:rsidRPr="00187F13" w:rsidRDefault="005D0D37" w:rsidP="005D0D37">
      <w:pPr>
        <w:autoSpaceDE w:val="0"/>
        <w:autoSpaceDN w:val="0"/>
        <w:spacing w:line="276" w:lineRule="auto"/>
        <w:jc w:val="both"/>
        <w:rPr>
          <w:rFonts w:eastAsiaTheme="minorHAnsi"/>
        </w:rPr>
      </w:pPr>
    </w:p>
    <w:p w14:paraId="747530C9" w14:textId="77777777" w:rsidR="005D0D37" w:rsidRPr="00187F13" w:rsidRDefault="005D0D37" w:rsidP="005D0D37">
      <w:pPr>
        <w:autoSpaceDE w:val="0"/>
        <w:autoSpaceDN w:val="0"/>
        <w:spacing w:line="276" w:lineRule="auto"/>
        <w:jc w:val="both"/>
      </w:pPr>
      <w:r w:rsidRPr="00187F13">
        <w:rPr>
          <w:rFonts w:ascii="Arial" w:hAnsi="Arial" w:cs="Arial"/>
          <w:b/>
          <w:bCs/>
          <w:sz w:val="20"/>
        </w:rPr>
        <w:t xml:space="preserve">Thursday 17 February, 2022 </w:t>
      </w:r>
      <w:r w:rsidRPr="00187F13">
        <w:rPr>
          <w:rFonts w:ascii="Arial" w:hAnsi="Arial" w:cs="Arial"/>
          <w:sz w:val="20"/>
        </w:rPr>
        <w:t xml:space="preserve">New heavy goods vehicle (HGV) registrations rose by 12.9% year-on-year in 2021, according to new figures released today by the Society of Motor Manufacturers and Traders (SMMT). Growth in key industry sectors such as construction saw demand outstrip supply, with truck registrations surging from a locked-down 2020 fall of -32.2%. However, the global semiconductor shortage, as well as supply constraints affecting steel and aluminium, impacted availability, resulting in </w:t>
      </w:r>
      <w:r>
        <w:rPr>
          <w:rFonts w:ascii="Arial" w:hAnsi="Arial" w:cs="Arial"/>
          <w:sz w:val="20"/>
        </w:rPr>
        <w:t>7,571</w:t>
      </w:r>
      <w:r w:rsidRPr="00187F13">
        <w:rPr>
          <w:rFonts w:ascii="Arial" w:hAnsi="Arial" w:cs="Arial"/>
          <w:sz w:val="20"/>
        </w:rPr>
        <w:t xml:space="preserve"> fewer (-1</w:t>
      </w:r>
      <w:r>
        <w:rPr>
          <w:rFonts w:ascii="Arial" w:hAnsi="Arial" w:cs="Arial"/>
          <w:sz w:val="20"/>
        </w:rPr>
        <w:t>6.9</w:t>
      </w:r>
      <w:r w:rsidRPr="00187F13">
        <w:rPr>
          <w:rFonts w:ascii="Arial" w:hAnsi="Arial" w:cs="Arial"/>
          <w:sz w:val="20"/>
        </w:rPr>
        <w:t>%) HGV units registered compared with the pre-pandemic average.</w:t>
      </w:r>
      <w:r w:rsidRPr="00187F13">
        <w:rPr>
          <w:rFonts w:ascii="Arial" w:hAnsi="Arial" w:cs="Arial"/>
          <w:sz w:val="20"/>
          <w:vertAlign w:val="superscript"/>
        </w:rPr>
        <w:t>1</w:t>
      </w:r>
    </w:p>
    <w:p w14:paraId="4EDD8BA0" w14:textId="77777777" w:rsidR="005D0D37" w:rsidRPr="00187F13" w:rsidRDefault="005D0D37" w:rsidP="005D0D37">
      <w:pPr>
        <w:autoSpaceDE w:val="0"/>
        <w:autoSpaceDN w:val="0"/>
        <w:spacing w:line="276" w:lineRule="auto"/>
        <w:jc w:val="both"/>
      </w:pPr>
      <w:r w:rsidRPr="00187F13">
        <w:rPr>
          <w:rFonts w:ascii="Arial" w:hAnsi="Arial" w:cs="Arial"/>
          <w:sz w:val="20"/>
        </w:rPr>
        <w:t> </w:t>
      </w:r>
    </w:p>
    <w:p w14:paraId="244255AA" w14:textId="77777777" w:rsidR="005D0D37" w:rsidRPr="00187F13" w:rsidRDefault="005D0D37" w:rsidP="005D0D37">
      <w:pPr>
        <w:autoSpaceDE w:val="0"/>
        <w:autoSpaceDN w:val="0"/>
        <w:spacing w:line="276" w:lineRule="auto"/>
        <w:jc w:val="both"/>
      </w:pPr>
      <w:r w:rsidRPr="00187F13">
        <w:rPr>
          <w:rFonts w:ascii="Arial" w:hAnsi="Arial" w:cs="Arial"/>
          <w:sz w:val="20"/>
        </w:rPr>
        <w:t xml:space="preserve">Some 37,163 units were registered last year, 57.1% of which were rigids, while 42.9% were articulated trucks, in line with market splits seen in previous years, though both segments grew with 2,239 more rigids (+11.8%) and 2,006 more </w:t>
      </w:r>
      <w:proofErr w:type="spellStart"/>
      <w:r w:rsidRPr="00187F13">
        <w:rPr>
          <w:rFonts w:ascii="Arial" w:hAnsi="Arial" w:cs="Arial"/>
          <w:sz w:val="20"/>
        </w:rPr>
        <w:t>artics</w:t>
      </w:r>
      <w:proofErr w:type="spellEnd"/>
      <w:r w:rsidRPr="00187F13">
        <w:rPr>
          <w:rFonts w:ascii="Arial" w:hAnsi="Arial" w:cs="Arial"/>
          <w:sz w:val="20"/>
        </w:rPr>
        <w:t xml:space="preserve"> (+14.4%) registered than 2020.</w:t>
      </w:r>
    </w:p>
    <w:p w14:paraId="1FDD1AC0" w14:textId="77777777" w:rsidR="005D0D37" w:rsidRPr="00187F13" w:rsidRDefault="005D0D37" w:rsidP="005D0D37">
      <w:pPr>
        <w:autoSpaceDE w:val="0"/>
        <w:autoSpaceDN w:val="0"/>
        <w:spacing w:line="276" w:lineRule="auto"/>
        <w:jc w:val="both"/>
      </w:pPr>
      <w:r w:rsidRPr="00187F13">
        <w:rPr>
          <w:rFonts w:ascii="Arial" w:hAnsi="Arial" w:cs="Arial"/>
          <w:sz w:val="20"/>
        </w:rPr>
        <w:t> </w:t>
      </w:r>
    </w:p>
    <w:p w14:paraId="0057EFE0" w14:textId="77777777" w:rsidR="005D0D37" w:rsidRPr="00187F13" w:rsidRDefault="005D0D37" w:rsidP="005D0D37">
      <w:pPr>
        <w:autoSpaceDE w:val="0"/>
        <w:autoSpaceDN w:val="0"/>
        <w:spacing w:line="276" w:lineRule="auto"/>
        <w:jc w:val="both"/>
      </w:pPr>
      <w:r w:rsidRPr="00187F13">
        <w:rPr>
          <w:rFonts w:ascii="Arial" w:hAnsi="Arial" w:cs="Arial"/>
          <w:sz w:val="20"/>
        </w:rPr>
        <w:t>As construction began to bounce back during the year, tipper demand rose by 32.5% to 3,808 units. Tractor units were the most popular type of HGV, with 15,679 units (+16.0%) representing a market share of 4</w:t>
      </w:r>
      <w:r>
        <w:rPr>
          <w:rFonts w:ascii="Arial" w:hAnsi="Arial" w:cs="Arial"/>
          <w:sz w:val="20"/>
        </w:rPr>
        <w:t>2</w:t>
      </w:r>
      <w:r w:rsidRPr="00187F13">
        <w:rPr>
          <w:rFonts w:ascii="Arial" w:hAnsi="Arial" w:cs="Arial"/>
          <w:sz w:val="20"/>
        </w:rPr>
        <w:t>.1%, while refuse trucks increased by 2.0% to 2,0</w:t>
      </w:r>
      <w:r>
        <w:rPr>
          <w:rFonts w:ascii="Arial" w:hAnsi="Arial" w:cs="Arial"/>
          <w:sz w:val="20"/>
        </w:rPr>
        <w:t>67</w:t>
      </w:r>
      <w:r w:rsidRPr="00187F13">
        <w:rPr>
          <w:rFonts w:ascii="Arial" w:hAnsi="Arial" w:cs="Arial"/>
          <w:sz w:val="20"/>
        </w:rPr>
        <w:t xml:space="preserve"> units. Conversely, box van registrations fell slightly, by -1.2% to 4,054 units, while curtain-sided lorries declined by -6.3% to 2,452 units.</w:t>
      </w:r>
    </w:p>
    <w:p w14:paraId="489A19B9" w14:textId="77777777" w:rsidR="005D0D37" w:rsidRPr="00187F13" w:rsidRDefault="005D0D37" w:rsidP="005D0D37">
      <w:pPr>
        <w:autoSpaceDE w:val="0"/>
        <w:autoSpaceDN w:val="0"/>
        <w:spacing w:line="276" w:lineRule="auto"/>
        <w:jc w:val="both"/>
      </w:pPr>
      <w:r w:rsidRPr="00187F13">
        <w:rPr>
          <w:rFonts w:ascii="Arial" w:hAnsi="Arial" w:cs="Arial"/>
          <w:sz w:val="20"/>
        </w:rPr>
        <w:t> </w:t>
      </w:r>
    </w:p>
    <w:p w14:paraId="5AD9B4A2" w14:textId="77777777" w:rsidR="005D0D37" w:rsidRPr="00187F13" w:rsidRDefault="005D0D37" w:rsidP="005D0D37">
      <w:pPr>
        <w:autoSpaceDE w:val="0"/>
        <w:autoSpaceDN w:val="0"/>
        <w:spacing w:line="276" w:lineRule="auto"/>
        <w:jc w:val="both"/>
      </w:pPr>
      <w:r w:rsidRPr="00187F13">
        <w:rPr>
          <w:rFonts w:ascii="Arial" w:hAnsi="Arial" w:cs="Arial"/>
          <w:sz w:val="20"/>
        </w:rPr>
        <w:t>In terms of UK nations, the majority of registrations were recorded in England (87.8%), followed by Scotland (6.9%), Wales (3.0%) and Northern Ireland (2.2%). Regionally, most registrations were made in South East England (23.2%), North West (1</w:t>
      </w:r>
      <w:r>
        <w:rPr>
          <w:rFonts w:ascii="Arial" w:hAnsi="Arial" w:cs="Arial"/>
          <w:sz w:val="20"/>
        </w:rPr>
        <w:t>2</w:t>
      </w:r>
      <w:r w:rsidRPr="00187F13">
        <w:rPr>
          <w:rFonts w:ascii="Arial" w:hAnsi="Arial" w:cs="Arial"/>
          <w:sz w:val="20"/>
        </w:rPr>
        <w:t>%), West Midlands (1</w:t>
      </w:r>
      <w:r>
        <w:rPr>
          <w:rFonts w:ascii="Arial" w:hAnsi="Arial" w:cs="Arial"/>
          <w:sz w:val="20"/>
        </w:rPr>
        <w:t>2</w:t>
      </w:r>
      <w:r w:rsidRPr="00187F13">
        <w:rPr>
          <w:rFonts w:ascii="Arial" w:hAnsi="Arial" w:cs="Arial"/>
          <w:sz w:val="20"/>
        </w:rPr>
        <w:t>%) and Yorkshire &amp; Humberside (11.9%).</w:t>
      </w:r>
    </w:p>
    <w:p w14:paraId="6CF39EB0" w14:textId="77777777" w:rsidR="005D0D37" w:rsidRPr="00187F13" w:rsidRDefault="005D0D37" w:rsidP="005D0D37">
      <w:pPr>
        <w:autoSpaceDE w:val="0"/>
        <w:autoSpaceDN w:val="0"/>
        <w:spacing w:line="276" w:lineRule="auto"/>
        <w:jc w:val="both"/>
      </w:pPr>
      <w:r w:rsidRPr="00187F13">
        <w:rPr>
          <w:rFonts w:ascii="Arial" w:hAnsi="Arial" w:cs="Arial"/>
          <w:sz w:val="20"/>
        </w:rPr>
        <w:t> </w:t>
      </w:r>
    </w:p>
    <w:p w14:paraId="591BBF18" w14:textId="77777777" w:rsidR="005D0D37" w:rsidRPr="00187F13" w:rsidRDefault="005D0D37" w:rsidP="005D0D37">
      <w:pPr>
        <w:autoSpaceDE w:val="0"/>
        <w:autoSpaceDN w:val="0"/>
        <w:spacing w:line="276" w:lineRule="auto"/>
        <w:jc w:val="both"/>
      </w:pPr>
      <w:r w:rsidRPr="00187F13">
        <w:rPr>
          <w:rFonts w:ascii="Arial" w:hAnsi="Arial" w:cs="Arial"/>
          <w:sz w:val="20"/>
        </w:rPr>
        <w:t>Maintaining and growing demand will be vital to fleet renewal - getting more of the latest, greenest trucks on the road – but operators need long-term certainty to make investment decisions. New non-zero emission HGV sales will end in 2040 – just five years after the end of sale date for non-zero emission new cars and vans. While the passenger car market is largely focused on one technology – electric – to meet driver needs, with a massive choice of models already available, there is no single zero emission technology appropriate for all HGV use cases. Furthermore, there is no plan to create the necessary public recharging or refuelling infrastructure specifically for HGVs and drivers to enable the transition. As a result, fossil fuel vehicles still account</w:t>
      </w:r>
      <w:r>
        <w:rPr>
          <w:rFonts w:ascii="Arial" w:hAnsi="Arial" w:cs="Arial"/>
          <w:sz w:val="20"/>
        </w:rPr>
        <w:t>ed</w:t>
      </w:r>
      <w:r w:rsidRPr="00187F13">
        <w:rPr>
          <w:rFonts w:ascii="Arial" w:hAnsi="Arial" w:cs="Arial"/>
          <w:sz w:val="20"/>
        </w:rPr>
        <w:t xml:space="preserve"> for 99.8% of HGVs in use</w:t>
      </w:r>
      <w:r>
        <w:rPr>
          <w:rFonts w:ascii="Arial" w:hAnsi="Arial" w:cs="Arial"/>
          <w:sz w:val="20"/>
        </w:rPr>
        <w:t xml:space="preserve"> in 2020</w:t>
      </w:r>
      <w:r w:rsidRPr="00187F13">
        <w:rPr>
          <w:rFonts w:ascii="Arial" w:hAnsi="Arial" w:cs="Arial"/>
          <w:sz w:val="20"/>
        </w:rPr>
        <w:t>, a proportion last seen in the car parc in 2007.</w:t>
      </w:r>
      <w:r w:rsidRPr="00187F13">
        <w:rPr>
          <w:rFonts w:ascii="Arial" w:hAnsi="Arial" w:cs="Arial"/>
          <w:sz w:val="20"/>
          <w:vertAlign w:val="superscript"/>
        </w:rPr>
        <w:t>2</w:t>
      </w:r>
    </w:p>
    <w:p w14:paraId="187EF0FC" w14:textId="77777777" w:rsidR="005D0D37" w:rsidRPr="00187F13" w:rsidRDefault="005D0D37" w:rsidP="005D0D37">
      <w:pPr>
        <w:autoSpaceDE w:val="0"/>
        <w:autoSpaceDN w:val="0"/>
        <w:spacing w:line="276" w:lineRule="auto"/>
        <w:jc w:val="both"/>
      </w:pPr>
      <w:r w:rsidRPr="00187F13">
        <w:rPr>
          <w:rFonts w:ascii="Arial" w:hAnsi="Arial" w:cs="Arial"/>
          <w:sz w:val="20"/>
        </w:rPr>
        <w:lastRenderedPageBreak/>
        <w:t> </w:t>
      </w:r>
    </w:p>
    <w:p w14:paraId="58EFB149" w14:textId="77777777" w:rsidR="005D0D37" w:rsidRDefault="005D0D37" w:rsidP="005D0D37">
      <w:pPr>
        <w:autoSpaceDE w:val="0"/>
        <w:autoSpaceDN w:val="0"/>
        <w:spacing w:line="276" w:lineRule="auto"/>
        <w:jc w:val="both"/>
        <w:rPr>
          <w:rFonts w:ascii="Arial" w:hAnsi="Arial" w:cs="Arial"/>
          <w:sz w:val="20"/>
        </w:rPr>
      </w:pPr>
      <w:r w:rsidRPr="00187F13">
        <w:rPr>
          <w:rFonts w:ascii="Arial" w:hAnsi="Arial" w:cs="Arial"/>
          <w:b/>
          <w:bCs/>
          <w:sz w:val="20"/>
        </w:rPr>
        <w:t>Mike Hawes, SMMT Chief Executive, said,</w:t>
      </w:r>
      <w:r w:rsidRPr="00187F13">
        <w:rPr>
          <w:rFonts w:ascii="Arial" w:hAnsi="Arial" w:cs="Arial"/>
          <w:sz w:val="20"/>
        </w:rPr>
        <w:t xml:space="preserve"> “With so much of our economy dependant on HGVs, the market’s return to growth is good news as getting more of the latest, high tech and low emission trucks onto the roads is critical to both air quality and climate change improvements. However, the sheer variety of functions HGVs perform, in logistics, construction and waste collection to name but three, illustrates how a range of technologies may be necessary to decarbonise road transport. Manufacturers are investing billions in such technologies, including battery electric, hydrogen and other alternative fuels but operators will need clarity, affordability and evidence on an infrastructure plan dedicated to their needs if this transition is to be delivered on time.</w:t>
      </w:r>
      <w:bookmarkEnd w:id="0"/>
      <w:r>
        <w:rPr>
          <w:rFonts w:ascii="Arial" w:hAnsi="Arial" w:cs="Arial"/>
          <w:sz w:val="20"/>
        </w:rPr>
        <w:t>”</w:t>
      </w:r>
    </w:p>
    <w:p w14:paraId="7E713121" w14:textId="77777777" w:rsidR="005D0D37" w:rsidRDefault="005D0D37" w:rsidP="005D0D37">
      <w:pPr>
        <w:autoSpaceDE w:val="0"/>
        <w:autoSpaceDN w:val="0"/>
        <w:spacing w:line="276" w:lineRule="auto"/>
        <w:jc w:val="both"/>
        <w:rPr>
          <w:rFonts w:ascii="Arial" w:hAnsi="Arial" w:cs="Arial"/>
          <w:sz w:val="20"/>
        </w:rPr>
      </w:pPr>
    </w:p>
    <w:p w14:paraId="5776C99B" w14:textId="77777777" w:rsidR="005D0D37" w:rsidRDefault="005D0D37" w:rsidP="005D0D37">
      <w:pPr>
        <w:autoSpaceDE w:val="0"/>
        <w:autoSpaceDN w:val="0"/>
        <w:spacing w:line="276" w:lineRule="auto"/>
        <w:jc w:val="both"/>
        <w:rPr>
          <w:rFonts w:ascii="Arial" w:hAnsi="Arial" w:cs="Arial"/>
          <w:sz w:val="20"/>
        </w:rPr>
      </w:pPr>
    </w:p>
    <w:p w14:paraId="03211AA6" w14:textId="2446171B" w:rsidR="005D0D37" w:rsidRDefault="004B17E0" w:rsidP="005D0D37">
      <w:pPr>
        <w:autoSpaceDE w:val="0"/>
        <w:autoSpaceDN w:val="0"/>
        <w:spacing w:line="276" w:lineRule="auto"/>
        <w:jc w:val="both"/>
        <w:rPr>
          <w:rFonts w:ascii="Arial" w:hAnsi="Arial" w:cs="Arial"/>
          <w:sz w:val="20"/>
        </w:rPr>
      </w:pPr>
      <w:r>
        <w:rPr>
          <w:rFonts w:ascii="Arial" w:hAnsi="Arial" w:cs="Arial"/>
          <w:noProof/>
          <w:sz w:val="20"/>
        </w:rPr>
        <w:drawing>
          <wp:inline distT="0" distB="0" distL="0" distR="0" wp14:anchorId="34B3C875" wp14:editId="42FBEAEE">
            <wp:extent cx="5955569" cy="29622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5641" cy="2967285"/>
                    </a:xfrm>
                    <a:prstGeom prst="rect">
                      <a:avLst/>
                    </a:prstGeom>
                    <a:noFill/>
                    <a:ln>
                      <a:noFill/>
                    </a:ln>
                  </pic:spPr>
                </pic:pic>
              </a:graphicData>
            </a:graphic>
          </wp:inline>
        </w:drawing>
      </w:r>
    </w:p>
    <w:p w14:paraId="280815E4" w14:textId="77777777" w:rsidR="005D0D37" w:rsidRPr="00187F13" w:rsidRDefault="005D0D37" w:rsidP="005D0D37">
      <w:pPr>
        <w:autoSpaceDE w:val="0"/>
        <w:autoSpaceDN w:val="0"/>
        <w:spacing w:line="276" w:lineRule="auto"/>
        <w:jc w:val="both"/>
        <w:rPr>
          <w:rFonts w:ascii="Arial" w:hAnsi="Arial" w:cs="Arial"/>
          <w:sz w:val="20"/>
        </w:rPr>
      </w:pPr>
    </w:p>
    <w:p w14:paraId="593C9F86" w14:textId="40FCE6A9" w:rsidR="005D0D37" w:rsidRDefault="005D0D37" w:rsidP="005D0D37">
      <w:pPr>
        <w:autoSpaceDE w:val="0"/>
        <w:autoSpaceDN w:val="0"/>
        <w:spacing w:line="276" w:lineRule="auto"/>
        <w:jc w:val="both"/>
        <w:rPr>
          <w:rFonts w:ascii="Arial" w:hAnsi="Arial" w:cs="Arial"/>
          <w:color w:val="000000"/>
          <w:sz w:val="20"/>
        </w:rPr>
      </w:pPr>
    </w:p>
    <w:p w14:paraId="4129AA9A" w14:textId="77777777" w:rsidR="00335EDB" w:rsidRDefault="00335EDB" w:rsidP="005D0D37">
      <w:pPr>
        <w:autoSpaceDE w:val="0"/>
        <w:autoSpaceDN w:val="0"/>
        <w:spacing w:line="276" w:lineRule="auto"/>
        <w:jc w:val="both"/>
        <w:rPr>
          <w:rFonts w:ascii="Arial" w:hAnsi="Arial" w:cs="Arial"/>
          <w:color w:val="000000"/>
          <w:sz w:val="20"/>
        </w:rPr>
      </w:pPr>
    </w:p>
    <w:p w14:paraId="05C0C468" w14:textId="77777777" w:rsidR="005D0D37" w:rsidRDefault="005D0D37" w:rsidP="005D0D37">
      <w:pPr>
        <w:autoSpaceDE w:val="0"/>
        <w:autoSpaceDN w:val="0"/>
        <w:spacing w:line="276" w:lineRule="auto"/>
        <w:jc w:val="both"/>
        <w:rPr>
          <w:rFonts w:ascii="Arial" w:hAnsi="Arial" w:cs="Arial"/>
          <w:color w:val="000000"/>
          <w:sz w:val="20"/>
        </w:rPr>
      </w:pPr>
      <w:r>
        <w:rPr>
          <w:rFonts w:ascii="Arial" w:hAnsi="Arial" w:cs="Arial"/>
          <w:noProof/>
          <w:sz w:val="20"/>
        </w:rPr>
        <w:drawing>
          <wp:inline distT="0" distB="0" distL="0" distR="0" wp14:anchorId="42D3204E" wp14:editId="03C4B931">
            <wp:extent cx="5958430" cy="3039110"/>
            <wp:effectExtent l="0" t="0" r="4445" b="889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6560" cy="3053458"/>
                    </a:xfrm>
                    <a:prstGeom prst="rect">
                      <a:avLst/>
                    </a:prstGeom>
                    <a:noFill/>
                    <a:ln>
                      <a:noFill/>
                    </a:ln>
                  </pic:spPr>
                </pic:pic>
              </a:graphicData>
            </a:graphic>
          </wp:inline>
        </w:drawing>
      </w:r>
    </w:p>
    <w:p w14:paraId="4F3B6C66" w14:textId="77777777" w:rsidR="005D0D37" w:rsidRDefault="005D0D37" w:rsidP="005D0D37">
      <w:pPr>
        <w:autoSpaceDE w:val="0"/>
        <w:autoSpaceDN w:val="0"/>
        <w:spacing w:line="276" w:lineRule="auto"/>
        <w:jc w:val="both"/>
        <w:rPr>
          <w:rFonts w:ascii="Arial" w:hAnsi="Arial" w:cs="Arial"/>
          <w:color w:val="000000"/>
          <w:sz w:val="20"/>
        </w:rPr>
      </w:pPr>
    </w:p>
    <w:p w14:paraId="35BA5BBF" w14:textId="77777777" w:rsidR="005D0D37" w:rsidRDefault="005D0D37" w:rsidP="005D0D37">
      <w:pPr>
        <w:autoSpaceDE w:val="0"/>
        <w:autoSpaceDN w:val="0"/>
        <w:spacing w:line="276" w:lineRule="auto"/>
        <w:jc w:val="both"/>
        <w:rPr>
          <w:rFonts w:ascii="Arial" w:hAnsi="Arial" w:cs="Arial"/>
          <w:color w:val="000000"/>
          <w:sz w:val="20"/>
        </w:rPr>
      </w:pPr>
    </w:p>
    <w:p w14:paraId="495E8E4B" w14:textId="77777777" w:rsidR="005D0D37" w:rsidRDefault="005D0D37" w:rsidP="005D0D37">
      <w:pPr>
        <w:autoSpaceDE w:val="0"/>
        <w:autoSpaceDN w:val="0"/>
        <w:spacing w:line="276" w:lineRule="auto"/>
        <w:jc w:val="both"/>
        <w:rPr>
          <w:rFonts w:ascii="Arial" w:hAnsi="Arial" w:cs="Arial"/>
          <w:color w:val="000000"/>
          <w:sz w:val="20"/>
        </w:rPr>
      </w:pPr>
    </w:p>
    <w:p w14:paraId="4B85C044" w14:textId="77777777" w:rsidR="005D0D37" w:rsidRDefault="005D0D37" w:rsidP="005D0D37">
      <w:pPr>
        <w:autoSpaceDE w:val="0"/>
        <w:autoSpaceDN w:val="0"/>
        <w:spacing w:line="276" w:lineRule="auto"/>
        <w:jc w:val="both"/>
        <w:rPr>
          <w:rFonts w:ascii="Arial" w:hAnsi="Arial" w:cs="Arial"/>
          <w:color w:val="000000"/>
          <w:sz w:val="20"/>
        </w:rPr>
      </w:pPr>
      <w:r w:rsidRPr="00B45BFE">
        <w:rPr>
          <w:noProof/>
        </w:rPr>
        <w:lastRenderedPageBreak/>
        <w:drawing>
          <wp:inline distT="0" distB="0" distL="0" distR="0" wp14:anchorId="4ECC6749" wp14:editId="12A33822">
            <wp:extent cx="6234389" cy="38215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74651" cy="3846181"/>
                    </a:xfrm>
                    <a:prstGeom prst="rect">
                      <a:avLst/>
                    </a:prstGeom>
                    <a:noFill/>
                    <a:ln>
                      <a:noFill/>
                    </a:ln>
                  </pic:spPr>
                </pic:pic>
              </a:graphicData>
            </a:graphic>
          </wp:inline>
        </w:drawing>
      </w:r>
    </w:p>
    <w:p w14:paraId="652DD58E" w14:textId="77777777" w:rsidR="005D0D37" w:rsidRDefault="005D0D37" w:rsidP="005D0D37">
      <w:pPr>
        <w:autoSpaceDE w:val="0"/>
        <w:autoSpaceDN w:val="0"/>
        <w:spacing w:line="276" w:lineRule="auto"/>
        <w:jc w:val="both"/>
        <w:rPr>
          <w:rFonts w:ascii="Arial" w:hAnsi="Arial" w:cs="Arial"/>
          <w:color w:val="000000"/>
          <w:sz w:val="20"/>
        </w:rPr>
      </w:pPr>
    </w:p>
    <w:p w14:paraId="2A669529" w14:textId="77777777" w:rsidR="005D0D37" w:rsidRDefault="005D0D37" w:rsidP="005D0D37">
      <w:pPr>
        <w:autoSpaceDE w:val="0"/>
        <w:autoSpaceDN w:val="0"/>
        <w:spacing w:line="276" w:lineRule="auto"/>
        <w:jc w:val="both"/>
        <w:rPr>
          <w:rFonts w:ascii="Arial" w:hAnsi="Arial" w:cs="Arial"/>
          <w:color w:val="000000"/>
          <w:sz w:val="20"/>
        </w:rPr>
      </w:pPr>
    </w:p>
    <w:p w14:paraId="3C7500F0" w14:textId="77777777" w:rsidR="005D0D37" w:rsidRDefault="005D0D37" w:rsidP="005D0D37">
      <w:pPr>
        <w:autoSpaceDE w:val="0"/>
        <w:autoSpaceDN w:val="0"/>
        <w:spacing w:line="276" w:lineRule="auto"/>
        <w:jc w:val="both"/>
      </w:pPr>
      <w:r>
        <w:rPr>
          <w:noProof/>
        </w:rPr>
        <w:drawing>
          <wp:inline distT="0" distB="0" distL="0" distR="0" wp14:anchorId="1AAD3750" wp14:editId="022FAC11">
            <wp:extent cx="5296535" cy="3631565"/>
            <wp:effectExtent l="0" t="0" r="0" b="6985"/>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6535" cy="3631565"/>
                    </a:xfrm>
                    <a:prstGeom prst="rect">
                      <a:avLst/>
                    </a:prstGeom>
                    <a:noFill/>
                    <a:ln>
                      <a:noFill/>
                    </a:ln>
                  </pic:spPr>
                </pic:pic>
              </a:graphicData>
            </a:graphic>
          </wp:inline>
        </w:drawing>
      </w:r>
    </w:p>
    <w:p w14:paraId="6FB1D61E" w14:textId="77777777" w:rsidR="005D0D37" w:rsidRDefault="005D0D37" w:rsidP="005D0D37">
      <w:pPr>
        <w:autoSpaceDE w:val="0"/>
        <w:autoSpaceDN w:val="0"/>
        <w:spacing w:line="276" w:lineRule="auto"/>
        <w:jc w:val="both"/>
      </w:pPr>
    </w:p>
    <w:p w14:paraId="3612A6D0" w14:textId="77777777" w:rsidR="00DD4E85" w:rsidRDefault="00DD4E85" w:rsidP="005D0D37">
      <w:pPr>
        <w:autoSpaceDE w:val="0"/>
        <w:autoSpaceDN w:val="0"/>
        <w:spacing w:line="276" w:lineRule="auto"/>
        <w:jc w:val="both"/>
      </w:pPr>
    </w:p>
    <w:p w14:paraId="6D13953B" w14:textId="77777777" w:rsidR="00DD4E85" w:rsidRDefault="00DD4E85" w:rsidP="005D0D37">
      <w:pPr>
        <w:autoSpaceDE w:val="0"/>
        <w:autoSpaceDN w:val="0"/>
        <w:spacing w:line="276" w:lineRule="auto"/>
        <w:jc w:val="both"/>
      </w:pPr>
    </w:p>
    <w:p w14:paraId="2CE84283" w14:textId="16CF3989" w:rsidR="00DD4E85" w:rsidRDefault="00DD4E85" w:rsidP="005D0D37">
      <w:pPr>
        <w:autoSpaceDE w:val="0"/>
        <w:autoSpaceDN w:val="0"/>
        <w:spacing w:line="276" w:lineRule="auto"/>
        <w:jc w:val="both"/>
      </w:pPr>
    </w:p>
    <w:p w14:paraId="77B81572" w14:textId="26DF0C92" w:rsidR="004B17E0" w:rsidRDefault="005D0D37" w:rsidP="005D0D37">
      <w:pPr>
        <w:autoSpaceDE w:val="0"/>
        <w:autoSpaceDN w:val="0"/>
        <w:spacing w:line="276" w:lineRule="auto"/>
        <w:jc w:val="both"/>
      </w:pPr>
      <w:r>
        <w:rPr>
          <w:noProof/>
        </w:rPr>
        <w:lastRenderedPageBreak/>
        <w:drawing>
          <wp:inline distT="0" distB="0" distL="0" distR="0" wp14:anchorId="10F3ADCC" wp14:editId="6F5F1C2F">
            <wp:extent cx="4140835" cy="4606290"/>
            <wp:effectExtent l="0" t="0" r="0" b="381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40835" cy="4606290"/>
                    </a:xfrm>
                    <a:prstGeom prst="rect">
                      <a:avLst/>
                    </a:prstGeom>
                    <a:noFill/>
                    <a:ln>
                      <a:noFill/>
                    </a:ln>
                  </pic:spPr>
                </pic:pic>
              </a:graphicData>
            </a:graphic>
          </wp:inline>
        </w:drawing>
      </w:r>
    </w:p>
    <w:p w14:paraId="3D54CA2F" w14:textId="273F372A" w:rsidR="00935C73" w:rsidRDefault="00857F7E" w:rsidP="005D0D37">
      <w:pPr>
        <w:autoSpaceDE w:val="0"/>
        <w:autoSpaceDN w:val="0"/>
        <w:spacing w:line="276" w:lineRule="auto"/>
        <w:jc w:val="both"/>
      </w:pPr>
      <w:r>
        <w:rPr>
          <w:noProof/>
        </w:rPr>
        <w:drawing>
          <wp:inline distT="0" distB="0" distL="0" distR="0" wp14:anchorId="42FF6DF7" wp14:editId="7F7ADB62">
            <wp:extent cx="5976620" cy="1743710"/>
            <wp:effectExtent l="0" t="0" r="5080" b="8890"/>
            <wp:docPr id="6" name="Picture 6"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imelin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6620" cy="1743710"/>
                    </a:xfrm>
                    <a:prstGeom prst="rect">
                      <a:avLst/>
                    </a:prstGeom>
                    <a:noFill/>
                    <a:ln>
                      <a:noFill/>
                    </a:ln>
                  </pic:spPr>
                </pic:pic>
              </a:graphicData>
            </a:graphic>
          </wp:inline>
        </w:drawing>
      </w:r>
    </w:p>
    <w:p w14:paraId="5E40D19B" w14:textId="3F3403C6" w:rsidR="00935C73" w:rsidRDefault="00935C73" w:rsidP="005D0D37">
      <w:pPr>
        <w:autoSpaceDE w:val="0"/>
        <w:autoSpaceDN w:val="0"/>
        <w:spacing w:line="276" w:lineRule="auto"/>
        <w:jc w:val="both"/>
      </w:pPr>
      <w:r>
        <w:rPr>
          <w:noProof/>
        </w:rPr>
        <w:drawing>
          <wp:inline distT="0" distB="0" distL="0" distR="0" wp14:anchorId="208FAFDA" wp14:editId="435A08C0">
            <wp:extent cx="5969635" cy="2105025"/>
            <wp:effectExtent l="0" t="0" r="0" b="9525"/>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9635" cy="2105025"/>
                    </a:xfrm>
                    <a:prstGeom prst="rect">
                      <a:avLst/>
                    </a:prstGeom>
                    <a:noFill/>
                    <a:ln>
                      <a:noFill/>
                    </a:ln>
                  </pic:spPr>
                </pic:pic>
              </a:graphicData>
            </a:graphic>
          </wp:inline>
        </w:drawing>
      </w:r>
    </w:p>
    <w:p w14:paraId="4981A1A4" w14:textId="77777777" w:rsidR="00857F7E" w:rsidRDefault="00857F7E" w:rsidP="005D0D37">
      <w:pPr>
        <w:autoSpaceDE w:val="0"/>
        <w:autoSpaceDN w:val="0"/>
        <w:spacing w:line="276" w:lineRule="auto"/>
        <w:jc w:val="both"/>
      </w:pPr>
    </w:p>
    <w:p w14:paraId="3232AD51" w14:textId="77777777" w:rsidR="003A2F7B" w:rsidRDefault="003A2F7B" w:rsidP="005D0D37">
      <w:pPr>
        <w:autoSpaceDE w:val="0"/>
        <w:autoSpaceDN w:val="0"/>
        <w:spacing w:line="276" w:lineRule="auto"/>
      </w:pPr>
    </w:p>
    <w:p w14:paraId="7600029A" w14:textId="3F3D6AB0" w:rsidR="005D0D37" w:rsidRDefault="005D0D37" w:rsidP="005D0D37">
      <w:pPr>
        <w:autoSpaceDE w:val="0"/>
        <w:autoSpaceDN w:val="0"/>
        <w:spacing w:line="276" w:lineRule="auto"/>
        <w:rPr>
          <w:rFonts w:ascii="Arial" w:hAnsi="Arial" w:cs="Arial"/>
          <w:b/>
          <w:color w:val="1074CB"/>
          <w:sz w:val="16"/>
          <w:szCs w:val="16"/>
        </w:rPr>
      </w:pPr>
      <w:r>
        <w:rPr>
          <w:rFonts w:ascii="Arial" w:hAnsi="Arial" w:cs="Arial"/>
          <w:b/>
          <w:color w:val="1074CB"/>
          <w:sz w:val="16"/>
          <w:u w:val="single"/>
        </w:rPr>
        <w:t>N</w:t>
      </w:r>
      <w:r w:rsidRPr="007863B9">
        <w:rPr>
          <w:rFonts w:ascii="Arial" w:hAnsi="Arial" w:cs="Arial"/>
          <w:b/>
          <w:color w:val="1074CB"/>
          <w:sz w:val="16"/>
          <w:u w:val="single"/>
        </w:rPr>
        <w:t>otes to Editors</w:t>
      </w:r>
    </w:p>
    <w:p w14:paraId="7970BB0A" w14:textId="77777777" w:rsidR="005D0D37" w:rsidRDefault="005D0D37" w:rsidP="005D0D37">
      <w:pPr>
        <w:autoSpaceDE w:val="0"/>
        <w:autoSpaceDN w:val="0"/>
        <w:spacing w:line="276" w:lineRule="auto"/>
        <w:rPr>
          <w:rFonts w:ascii="Arial" w:hAnsi="Arial" w:cs="Arial"/>
          <w:bCs/>
          <w:color w:val="1074CB"/>
          <w:sz w:val="16"/>
          <w:szCs w:val="16"/>
        </w:rPr>
      </w:pPr>
      <w:r w:rsidRPr="0054221D">
        <w:rPr>
          <w:rFonts w:ascii="Arial" w:hAnsi="Arial" w:cs="Arial"/>
          <w:bCs/>
          <w:color w:val="1074CB"/>
          <w:sz w:val="16"/>
          <w:szCs w:val="16"/>
        </w:rPr>
        <w:t>1</w:t>
      </w:r>
      <w:r>
        <w:rPr>
          <w:rFonts w:ascii="Arial" w:hAnsi="Arial" w:cs="Arial"/>
          <w:b/>
          <w:color w:val="1074CB"/>
          <w:sz w:val="16"/>
          <w:szCs w:val="16"/>
        </w:rPr>
        <w:t xml:space="preserve"> </w:t>
      </w:r>
      <w:r w:rsidRPr="00B231C0">
        <w:rPr>
          <w:rFonts w:ascii="Arial" w:hAnsi="Arial" w:cs="Arial"/>
          <w:bCs/>
          <w:color w:val="1074CB"/>
          <w:sz w:val="16"/>
          <w:szCs w:val="16"/>
        </w:rPr>
        <w:t>2015-2019 average:</w:t>
      </w:r>
      <w:r>
        <w:rPr>
          <w:rFonts w:ascii="Arial" w:hAnsi="Arial" w:cs="Arial"/>
          <w:b/>
          <w:color w:val="1074CB"/>
          <w:sz w:val="16"/>
          <w:szCs w:val="16"/>
        </w:rPr>
        <w:t xml:space="preserve"> </w:t>
      </w:r>
      <w:r w:rsidRPr="004D187F">
        <w:rPr>
          <w:rFonts w:ascii="Arial" w:hAnsi="Arial" w:cs="Arial"/>
          <w:bCs/>
          <w:color w:val="1074CB"/>
          <w:sz w:val="16"/>
          <w:szCs w:val="16"/>
        </w:rPr>
        <w:t>44,</w:t>
      </w:r>
      <w:r>
        <w:rPr>
          <w:rFonts w:ascii="Arial" w:hAnsi="Arial" w:cs="Arial"/>
          <w:bCs/>
          <w:color w:val="1074CB"/>
          <w:sz w:val="16"/>
          <w:szCs w:val="16"/>
        </w:rPr>
        <w:t>734</w:t>
      </w:r>
      <w:r w:rsidRPr="004D187F">
        <w:rPr>
          <w:rFonts w:ascii="Arial" w:hAnsi="Arial" w:cs="Arial"/>
          <w:bCs/>
          <w:color w:val="1074CB"/>
          <w:sz w:val="16"/>
          <w:szCs w:val="16"/>
        </w:rPr>
        <w:t xml:space="preserve"> units</w:t>
      </w:r>
    </w:p>
    <w:p w14:paraId="74C45A74" w14:textId="77777777" w:rsidR="005D0D37" w:rsidRDefault="005D0D37" w:rsidP="005D0D37">
      <w:pPr>
        <w:autoSpaceDE w:val="0"/>
        <w:autoSpaceDN w:val="0"/>
        <w:spacing w:line="276" w:lineRule="auto"/>
        <w:rPr>
          <w:rFonts w:ascii="Arial" w:hAnsi="Arial" w:cs="Arial"/>
          <w:b/>
          <w:color w:val="1074CB"/>
          <w:sz w:val="16"/>
          <w:szCs w:val="16"/>
        </w:rPr>
      </w:pPr>
      <w:r>
        <w:rPr>
          <w:rFonts w:ascii="Arial" w:hAnsi="Arial" w:cs="Arial"/>
          <w:bCs/>
          <w:color w:val="1074CB"/>
          <w:sz w:val="16"/>
          <w:szCs w:val="16"/>
        </w:rPr>
        <w:t xml:space="preserve">2 0.2% of HGVs were alternatively fuelled, based on SMMT analysis of 2020 </w:t>
      </w:r>
      <w:proofErr w:type="spellStart"/>
      <w:r>
        <w:rPr>
          <w:rFonts w:ascii="Arial" w:hAnsi="Arial" w:cs="Arial"/>
          <w:bCs/>
          <w:color w:val="1074CB"/>
          <w:sz w:val="16"/>
          <w:szCs w:val="16"/>
        </w:rPr>
        <w:t>motorparc</w:t>
      </w:r>
      <w:proofErr w:type="spellEnd"/>
      <w:r>
        <w:rPr>
          <w:rFonts w:ascii="Arial" w:hAnsi="Arial" w:cs="Arial"/>
          <w:bCs/>
          <w:color w:val="1074CB"/>
          <w:sz w:val="16"/>
          <w:szCs w:val="16"/>
        </w:rPr>
        <w:t xml:space="preserve"> data; </w:t>
      </w:r>
      <w:hyperlink r:id="rId19" w:history="1">
        <w:r w:rsidRPr="00B231C0">
          <w:rPr>
            <w:rStyle w:val="Hyperlink"/>
            <w:rFonts w:ascii="Arial" w:hAnsi="Arial" w:cs="Arial"/>
            <w:bCs/>
            <w:i/>
            <w:iCs/>
            <w:sz w:val="16"/>
            <w:szCs w:val="16"/>
          </w:rPr>
          <w:t>Fuelling the Fleet: Delivering Commercial Vehicle Decarbonisation</w:t>
        </w:r>
      </w:hyperlink>
    </w:p>
    <w:p w14:paraId="2BCEFCAB" w14:textId="77777777" w:rsidR="005D0D37" w:rsidRDefault="005D0D37" w:rsidP="005D0D37">
      <w:pPr>
        <w:pStyle w:val="NormalWeb"/>
        <w:spacing w:after="240" w:afterAutospacing="0" w:line="276" w:lineRule="auto"/>
        <w:rPr>
          <w:b/>
          <w:bCs/>
        </w:rPr>
      </w:pPr>
      <w:r w:rsidRPr="0046599A">
        <w:rPr>
          <w:rFonts w:ascii="Arial" w:hAnsi="Arial" w:cs="Arial"/>
          <w:b/>
          <w:color w:val="1074CB"/>
          <w:sz w:val="16"/>
          <w:szCs w:val="16"/>
          <w:lang w:eastAsia="en-US"/>
        </w:rPr>
        <w:t>Hi-res charts available here:</w:t>
      </w:r>
    </w:p>
    <w:p w14:paraId="3EBFEE95" w14:textId="77777777" w:rsidR="005D0D37" w:rsidRPr="008F284E" w:rsidRDefault="005D0D37" w:rsidP="005D0D37">
      <w:pPr>
        <w:pStyle w:val="NormalWeb"/>
        <w:spacing w:after="240" w:afterAutospacing="0" w:line="276" w:lineRule="auto"/>
        <w:rPr>
          <w:b/>
          <w:bCs/>
        </w:rPr>
      </w:pPr>
      <w:r w:rsidRPr="00326BB7">
        <w:rPr>
          <w:rFonts w:ascii="Arial" w:eastAsia="Calibri" w:hAnsi="Arial" w:cs="Arial"/>
          <w:bCs/>
          <w:color w:val="1074CB"/>
          <w:sz w:val="16"/>
          <w:szCs w:val="16"/>
          <w:lang w:eastAsia="en-US"/>
        </w:rPr>
        <w:t>SMM</w:t>
      </w:r>
      <w:r>
        <w:rPr>
          <w:rFonts w:ascii="Arial" w:eastAsia="Calibri" w:hAnsi="Arial" w:cs="Arial"/>
          <w:bCs/>
          <w:color w:val="1074CB"/>
          <w:sz w:val="16"/>
          <w:szCs w:val="16"/>
          <w:lang w:eastAsia="en-US"/>
        </w:rPr>
        <w:t>T HGV registrations for Q2 2022 will be published 17 May 2022.</w:t>
      </w:r>
    </w:p>
    <w:p w14:paraId="6430A863" w14:textId="77777777" w:rsidR="005D0D37" w:rsidRDefault="005D0D37" w:rsidP="005D0D37">
      <w:pPr>
        <w:pStyle w:val="NormalWeb"/>
        <w:jc w:val="both"/>
        <w:textAlignment w:val="baseline"/>
        <w:rPr>
          <w:rFonts w:ascii="Segoe UI" w:eastAsia="Times New Roman" w:hAnsi="Segoe UI" w:cs="Segoe UI"/>
          <w:sz w:val="18"/>
          <w:szCs w:val="18"/>
        </w:rPr>
      </w:pPr>
      <w:r>
        <w:rPr>
          <w:rStyle w:val="Strong"/>
          <w:rFonts w:ascii="Arial" w:hAnsi="Arial" w:cs="Arial"/>
          <w:color w:val="1074CB"/>
          <w:sz w:val="16"/>
          <w:szCs w:val="16"/>
        </w:rPr>
        <w:t>About SMMT and the UK automotive industry</w:t>
      </w:r>
    </w:p>
    <w:p w14:paraId="39B8CB23" w14:textId="77777777" w:rsidR="005D0D37" w:rsidRDefault="005D0D37" w:rsidP="005D0D37">
      <w:pPr>
        <w:pStyle w:val="NormalWeb"/>
        <w:autoSpaceDE w:val="0"/>
        <w:autoSpaceDN w:val="0"/>
        <w:spacing w:line="276" w:lineRule="auto"/>
        <w:jc w:val="both"/>
        <w:rPr>
          <w:sz w:val="22"/>
        </w:rPr>
      </w:pPr>
      <w:r>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the industry to government, stakeholders and the media.</w:t>
      </w:r>
    </w:p>
    <w:p w14:paraId="0155CA25" w14:textId="77777777" w:rsidR="005D0D37" w:rsidRDefault="005D0D37" w:rsidP="005D0D37">
      <w:pPr>
        <w:pStyle w:val="NormalWeb"/>
        <w:autoSpaceDE w:val="0"/>
        <w:autoSpaceDN w:val="0"/>
        <w:spacing w:line="276" w:lineRule="auto"/>
        <w:jc w:val="both"/>
      </w:pPr>
      <w:r>
        <w:rPr>
          <w:rFonts w:ascii="Arial" w:hAnsi="Arial" w:cs="Arial"/>
          <w:color w:val="1074CB"/>
          <w:sz w:val="16"/>
          <w:szCs w:val="16"/>
        </w:rPr>
        <w:t>The automotive industry is a vital part of the UK economy, and integral to supporting the delivery of the agendas for levelling up, net zero, advancing global Britain, and the plan for growth. It contributes £60 billion turnover and £12 billion value added to the UK economy, and invests around £3 billion each year in R&amp;D. With more than 155,000 people employed directly in manufacturing and some 800,000 across the wider automotive industry, it accounts for 11% of total UK exports with more than 150 countries importing UK produced vehicles, generating more than £73 billion of trade.</w:t>
      </w:r>
    </w:p>
    <w:p w14:paraId="5338AB68" w14:textId="77777777" w:rsidR="005D0D37" w:rsidRDefault="005D0D37" w:rsidP="005D0D37">
      <w:pPr>
        <w:pStyle w:val="NormalWeb"/>
        <w:autoSpaceDE w:val="0"/>
        <w:autoSpaceDN w:val="0"/>
        <w:spacing w:line="276" w:lineRule="auto"/>
        <w:jc w:val="both"/>
      </w:pPr>
      <w:r>
        <w:rPr>
          <w:rFonts w:ascii="Arial" w:hAnsi="Arial" w:cs="Arial"/>
          <w:color w:val="1074CB"/>
          <w:sz w:val="16"/>
          <w:szCs w:val="16"/>
        </w:rPr>
        <w:t>More than 30 manufacturers build more than 70 models of vehicle in the UK, supported by more than 2,500 component providers and some of the world's most skilled engineers. The automotive sector also supports jobs in other key sectors – including advertising, chemicals, finance, logistics and steel. Many of these jobs are outside London and the South East, with wages that are around 25% higher than the UK average.</w:t>
      </w:r>
    </w:p>
    <w:p w14:paraId="401496F0" w14:textId="77777777" w:rsidR="005D0D37" w:rsidRDefault="005D0D37" w:rsidP="005D0D37">
      <w:pPr>
        <w:pStyle w:val="NormalWeb"/>
        <w:autoSpaceDE w:val="0"/>
        <w:autoSpaceDN w:val="0"/>
        <w:spacing w:line="276" w:lineRule="auto"/>
        <w:jc w:val="both"/>
        <w:rPr>
          <w:sz w:val="22"/>
        </w:rPr>
      </w:pPr>
      <w:r>
        <w:rPr>
          <w:rFonts w:ascii="Arial" w:hAnsi="Arial" w:cs="Arial"/>
          <w:color w:val="1074CB"/>
          <w:sz w:val="16"/>
          <w:szCs w:val="16"/>
        </w:rPr>
        <w:t xml:space="preserve">More detail on UK automotive available in SMMT's Motor Industry Facts 2021 publication at </w:t>
      </w:r>
      <w:hyperlink r:id="rId20" w:history="1">
        <w:r>
          <w:rPr>
            <w:rStyle w:val="Hyperlink"/>
            <w:rFonts w:ascii="Arial" w:hAnsi="Arial" w:cs="Arial"/>
            <w:sz w:val="16"/>
            <w:szCs w:val="16"/>
          </w:rPr>
          <w:t>smmt.co.uk/facts21</w:t>
        </w:r>
      </w:hyperlink>
    </w:p>
    <w:p w14:paraId="70EF588A" w14:textId="77777777" w:rsidR="005D0D37" w:rsidRDefault="005D0D37" w:rsidP="005D0D37">
      <w:pPr>
        <w:jc w:val="both"/>
        <w:rPr>
          <w:rFonts w:ascii="Arial" w:hAnsi="Arial" w:cs="Arial"/>
          <w:b/>
          <w:bCs/>
          <w:color w:val="0070C0"/>
          <w:sz w:val="16"/>
          <w:szCs w:val="16"/>
        </w:rPr>
      </w:pPr>
      <w:r>
        <w:rPr>
          <w:rFonts w:ascii="Arial" w:hAnsi="Arial" w:cs="Arial"/>
          <w:b/>
          <w:bCs/>
          <w:color w:val="0070C0"/>
          <w:sz w:val="16"/>
          <w:szCs w:val="16"/>
        </w:rPr>
        <w:t>Broadcasters: SMMT has an ISDN studio and access to expert spokespeople, case studies and regional representatives.</w:t>
      </w:r>
    </w:p>
    <w:p w14:paraId="2924A0CB" w14:textId="77777777" w:rsidR="005D0D37" w:rsidRDefault="005D0D37" w:rsidP="005D0D37">
      <w:pPr>
        <w:jc w:val="both"/>
        <w:rPr>
          <w:rFonts w:ascii="Arial" w:hAnsi="Arial" w:cs="Arial"/>
          <w:b/>
          <w:bCs/>
          <w:color w:val="0070C0"/>
          <w:sz w:val="16"/>
          <w:szCs w:val="16"/>
        </w:rPr>
      </w:pPr>
    </w:p>
    <w:p w14:paraId="7D394C8E" w14:textId="77777777" w:rsidR="005D0D37" w:rsidRDefault="005D0D37" w:rsidP="005D0D37">
      <w:pPr>
        <w:rPr>
          <w:rFonts w:ascii="Arial" w:hAnsi="Arial" w:cs="Arial"/>
          <w:color w:val="1074CB"/>
          <w:sz w:val="16"/>
          <w:szCs w:val="16"/>
        </w:rPr>
      </w:pPr>
      <w:r>
        <w:rPr>
          <w:rFonts w:ascii="Arial" w:hAnsi="Arial" w:cs="Arial"/>
          <w:b/>
          <w:bCs/>
          <w:color w:val="0070C0"/>
          <w:sz w:val="16"/>
          <w:szCs w:val="16"/>
        </w:rPr>
        <w:t>SMMT media contacts </w:t>
      </w:r>
    </w:p>
    <w:p w14:paraId="1A3AE85D" w14:textId="77777777" w:rsidR="005D0D37" w:rsidRDefault="005D0D37" w:rsidP="005D0D37">
      <w:pPr>
        <w:rPr>
          <w:rFonts w:ascii="Arial" w:hAnsi="Arial" w:cs="Arial"/>
          <w:color w:val="0070C0"/>
          <w:sz w:val="16"/>
          <w:szCs w:val="16"/>
        </w:rPr>
      </w:pPr>
      <w:r>
        <w:rPr>
          <w:rFonts w:ascii="Arial" w:hAnsi="Arial" w:cs="Arial"/>
          <w:color w:val="1074CB"/>
          <w:sz w:val="16"/>
          <w:szCs w:val="16"/>
        </w:rPr>
        <w:t xml:space="preserve">Paul Mauerhoff                       07809 522181            </w:t>
      </w:r>
      <w:bookmarkStart w:id="1" w:name="_Hlk95895764"/>
      <w:r>
        <w:fldChar w:fldCharType="begin"/>
      </w:r>
      <w:r>
        <w:instrText xml:space="preserve"> HYPERLINK "mailto:pmauerhoff@smmt.co.uk" </w:instrText>
      </w:r>
      <w:r>
        <w:fldChar w:fldCharType="separate"/>
      </w:r>
      <w:r>
        <w:rPr>
          <w:rStyle w:val="Hyperlink"/>
          <w:rFonts w:ascii="Arial" w:hAnsi="Arial" w:cs="Arial"/>
          <w:sz w:val="16"/>
          <w:szCs w:val="16"/>
        </w:rPr>
        <w:t>pmauerhoff@smmt.co.uk</w:t>
      </w:r>
      <w:r>
        <w:rPr>
          <w:rStyle w:val="Hyperlink"/>
          <w:rFonts w:ascii="Arial" w:hAnsi="Arial" w:cs="Arial"/>
          <w:sz w:val="16"/>
          <w:szCs w:val="16"/>
        </w:rPr>
        <w:fldChar w:fldCharType="end"/>
      </w:r>
      <w:bookmarkEnd w:id="1"/>
      <w:r>
        <w:t> </w:t>
      </w:r>
    </w:p>
    <w:p w14:paraId="60F0E62A" w14:textId="77777777" w:rsidR="005D0D37" w:rsidRPr="003D2FC8" w:rsidRDefault="005D0D37" w:rsidP="005D0D37">
      <w:pPr>
        <w:rPr>
          <w:rFonts w:ascii="Arial" w:hAnsi="Arial" w:cs="Arial"/>
          <w:color w:val="0070C0"/>
          <w:sz w:val="16"/>
          <w:szCs w:val="16"/>
        </w:rPr>
      </w:pPr>
      <w:r>
        <w:rPr>
          <w:rFonts w:ascii="Arial" w:hAnsi="Arial" w:cs="Arial"/>
          <w:color w:val="0070C0"/>
          <w:sz w:val="16"/>
          <w:szCs w:val="16"/>
        </w:rPr>
        <w:t xml:space="preserve">James Boley                           07927 668565            </w:t>
      </w:r>
      <w:hyperlink r:id="rId21" w:history="1">
        <w:r>
          <w:rPr>
            <w:rStyle w:val="Hyperlink"/>
            <w:rFonts w:ascii="Arial" w:hAnsi="Arial" w:cs="Arial"/>
            <w:sz w:val="16"/>
            <w:szCs w:val="16"/>
          </w:rPr>
          <w:t>jboley@smmt.co.uk</w:t>
        </w:r>
      </w:hyperlink>
      <w:r>
        <w:t> </w:t>
      </w:r>
      <w:r>
        <w:br/>
      </w:r>
      <w:r>
        <w:rPr>
          <w:rFonts w:ascii="Arial" w:hAnsi="Arial" w:cs="Arial"/>
          <w:color w:val="0070C0"/>
          <w:sz w:val="16"/>
          <w:szCs w:val="16"/>
        </w:rPr>
        <w:t xml:space="preserve">Daniel Zealander                    07546 415205            </w:t>
      </w:r>
      <w:hyperlink r:id="rId22" w:history="1">
        <w:r>
          <w:rPr>
            <w:rStyle w:val="Hyperlink"/>
            <w:rFonts w:ascii="Arial" w:hAnsi="Arial" w:cs="Arial"/>
            <w:sz w:val="16"/>
            <w:szCs w:val="16"/>
          </w:rPr>
          <w:t>dzealander@smmt.co.uk</w:t>
        </w:r>
      </w:hyperlink>
      <w:r>
        <w:br/>
      </w:r>
      <w:r>
        <w:rPr>
          <w:rFonts w:ascii="Arial" w:hAnsi="Arial" w:cs="Arial"/>
          <w:color w:val="0070C0"/>
          <w:sz w:val="16"/>
          <w:szCs w:val="16"/>
        </w:rPr>
        <w:t xml:space="preserve">Scott Clarke                            07912 799959            </w:t>
      </w:r>
      <w:hyperlink r:id="rId23" w:history="1">
        <w:r w:rsidRPr="002D3B8F">
          <w:rPr>
            <w:rStyle w:val="Hyperlink"/>
            <w:rFonts w:ascii="Arial" w:hAnsi="Arial" w:cs="Arial"/>
            <w:sz w:val="16"/>
            <w:szCs w:val="16"/>
          </w:rPr>
          <w:t>sclarke@smmt.co.uk</w:t>
        </w:r>
      </w:hyperlink>
    </w:p>
    <w:p w14:paraId="2B2E27F6" w14:textId="3D886150" w:rsidR="003D2FC8" w:rsidRPr="005D0D37" w:rsidRDefault="005D0D37" w:rsidP="005D0D37">
      <w:pPr>
        <w:rPr>
          <w:rFonts w:ascii="Arial" w:hAnsi="Arial" w:cs="Arial"/>
          <w:sz w:val="16"/>
          <w:szCs w:val="16"/>
          <w:lang w:val="it-IT"/>
        </w:rPr>
      </w:pPr>
      <w:r w:rsidRPr="004A213E">
        <w:rPr>
          <w:rFonts w:ascii="Arial" w:hAnsi="Arial" w:cs="Arial"/>
          <w:color w:val="1074CB"/>
          <w:sz w:val="16"/>
          <w:szCs w:val="16"/>
          <w:lang w:val="it-IT"/>
        </w:rPr>
        <w:t xml:space="preserve">Emma Butcher                        07880 191825            </w:t>
      </w:r>
      <w:hyperlink r:id="rId24" w:history="1">
        <w:r w:rsidRPr="004A213E">
          <w:rPr>
            <w:rStyle w:val="Hyperlink"/>
            <w:rFonts w:ascii="Arial" w:hAnsi="Arial" w:cs="Arial"/>
            <w:sz w:val="16"/>
            <w:szCs w:val="16"/>
            <w:lang w:val="it-IT"/>
          </w:rPr>
          <w:t>ebutcher@smmt.co.uk</w:t>
        </w:r>
      </w:hyperlink>
    </w:p>
    <w:sectPr w:rsidR="003D2FC8" w:rsidRPr="005D0D37" w:rsidSect="008A357E">
      <w:headerReference w:type="default" r:id="rId25"/>
      <w:pgSz w:w="11906" w:h="16838"/>
      <w:pgMar w:top="2127" w:right="1247" w:bottom="709"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2DAF" w14:textId="77777777" w:rsidR="00D83A74" w:rsidRDefault="00D83A74" w:rsidP="007863B9">
      <w:r>
        <w:separator/>
      </w:r>
    </w:p>
  </w:endnote>
  <w:endnote w:type="continuationSeparator" w:id="0">
    <w:p w14:paraId="5268D240" w14:textId="77777777" w:rsidR="00D83A74" w:rsidRDefault="00D83A74" w:rsidP="0078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3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9DDD" w14:textId="77777777" w:rsidR="00D83A74" w:rsidRDefault="00D83A74" w:rsidP="007863B9">
      <w:r>
        <w:separator/>
      </w:r>
    </w:p>
  </w:footnote>
  <w:footnote w:type="continuationSeparator" w:id="0">
    <w:p w14:paraId="69E3AF94" w14:textId="77777777" w:rsidR="00D83A74" w:rsidRDefault="00D83A74" w:rsidP="00786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DC41" w14:textId="77777777" w:rsidR="007863B9" w:rsidRDefault="007863B9" w:rsidP="007863B9">
    <w:pPr>
      <w:pStyle w:val="Header"/>
      <w:jc w:val="right"/>
    </w:pPr>
    <w:r w:rsidRPr="007325D3">
      <w:rPr>
        <w:noProof/>
      </w:rPr>
      <w:drawing>
        <wp:inline distT="0" distB="0" distL="0" distR="0" wp14:anchorId="037D9576" wp14:editId="03DB8D50">
          <wp:extent cx="2185035" cy="649824"/>
          <wp:effectExtent l="19050" t="0" r="571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cstate="print"/>
                  <a:stretch>
                    <a:fillRect/>
                  </a:stretch>
                </pic:blipFill>
                <pic:spPr bwMode="auto">
                  <a:xfrm>
                    <a:off x="0" y="0"/>
                    <a:ext cx="2185035" cy="64982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621"/>
    <w:multiLevelType w:val="hybridMultilevel"/>
    <w:tmpl w:val="1A243D76"/>
    <w:lvl w:ilvl="0" w:tplc="3502DD6A">
      <w:start w:val="1"/>
      <w:numFmt w:val="bullet"/>
      <w:lvlText w:val=""/>
      <w:lvlJc w:val="left"/>
      <w:pPr>
        <w:ind w:left="720" w:hanging="360"/>
      </w:pPr>
      <w:rPr>
        <w:rFonts w:ascii="Symbol" w:hAnsi="Symbol" w:hint="default"/>
        <w:sz w:val="20"/>
        <w:szCs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3172F"/>
    <w:multiLevelType w:val="hybridMultilevel"/>
    <w:tmpl w:val="5DE45448"/>
    <w:lvl w:ilvl="0" w:tplc="B97C6C70">
      <w:numFmt w:val="bullet"/>
      <w:lvlText w:val=""/>
      <w:lvlJc w:val="left"/>
      <w:pPr>
        <w:ind w:left="927" w:hanging="360"/>
      </w:pPr>
      <w:rPr>
        <w:rFonts w:ascii="Symbol" w:eastAsia="Times New Roman" w:hAnsi="Symbol" w:cs="Times New Roman" w:hint="default"/>
        <w:color w:val="000000"/>
        <w:sz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70E3A98"/>
    <w:multiLevelType w:val="hybridMultilevel"/>
    <w:tmpl w:val="FCD8A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75EDC"/>
    <w:multiLevelType w:val="hybridMultilevel"/>
    <w:tmpl w:val="BC56D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C76F81"/>
    <w:multiLevelType w:val="hybridMultilevel"/>
    <w:tmpl w:val="E8860316"/>
    <w:lvl w:ilvl="0" w:tplc="D1F07C40">
      <w:start w:val="1"/>
      <w:numFmt w:val="bullet"/>
      <w:lvlText w:val=""/>
      <w:lvlJc w:val="left"/>
      <w:pPr>
        <w:ind w:left="436"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225B7"/>
    <w:multiLevelType w:val="hybridMultilevel"/>
    <w:tmpl w:val="082A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35BB6"/>
    <w:multiLevelType w:val="hybridMultilevel"/>
    <w:tmpl w:val="4D10E8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51416BC"/>
    <w:multiLevelType w:val="hybridMultilevel"/>
    <w:tmpl w:val="B818E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B7409B"/>
    <w:multiLevelType w:val="hybridMultilevel"/>
    <w:tmpl w:val="908CC024"/>
    <w:lvl w:ilvl="0" w:tplc="D1F07C40">
      <w:start w:val="1"/>
      <w:numFmt w:val="bullet"/>
      <w:lvlText w:val=""/>
      <w:lvlJc w:val="left"/>
      <w:pPr>
        <w:ind w:left="436"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64C3C"/>
    <w:multiLevelType w:val="hybridMultilevel"/>
    <w:tmpl w:val="B1883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292248"/>
    <w:multiLevelType w:val="hybridMultilevel"/>
    <w:tmpl w:val="AC00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46B2E"/>
    <w:multiLevelType w:val="hybridMultilevel"/>
    <w:tmpl w:val="FF26F3A2"/>
    <w:lvl w:ilvl="0" w:tplc="8F5E6B7C">
      <w:start w:val="16"/>
      <w:numFmt w:val="decimal"/>
      <w:lvlText w:val="%1"/>
      <w:lvlJc w:val="left"/>
      <w:pPr>
        <w:ind w:left="-87" w:hanging="480"/>
      </w:pPr>
      <w:rPr>
        <w:rFonts w:hint="default"/>
        <w:b/>
        <w:sz w:val="4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55572DC8"/>
    <w:multiLevelType w:val="hybridMultilevel"/>
    <w:tmpl w:val="D6DC5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12616"/>
    <w:multiLevelType w:val="hybridMultilevel"/>
    <w:tmpl w:val="AA9C91AE"/>
    <w:lvl w:ilvl="0" w:tplc="B97C6C70">
      <w:numFmt w:val="bullet"/>
      <w:lvlText w:val=""/>
      <w:lvlJc w:val="left"/>
      <w:pPr>
        <w:ind w:left="360" w:hanging="360"/>
      </w:pPr>
      <w:rPr>
        <w:rFonts w:ascii="Symbol" w:eastAsia="Times New Roman" w:hAnsi="Symbol" w:cs="Times New Roman" w:hint="default"/>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2A74C1"/>
    <w:multiLevelType w:val="hybridMultilevel"/>
    <w:tmpl w:val="A1C2FDEA"/>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5" w15:restartNumberingAfterBreak="0">
    <w:nsid w:val="67CA0BC6"/>
    <w:multiLevelType w:val="hybridMultilevel"/>
    <w:tmpl w:val="D60C0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78726B"/>
    <w:multiLevelType w:val="hybridMultilevel"/>
    <w:tmpl w:val="9DB817C0"/>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7" w15:restartNumberingAfterBreak="0">
    <w:nsid w:val="6B0C0539"/>
    <w:multiLevelType w:val="multilevel"/>
    <w:tmpl w:val="3B024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0CD4895"/>
    <w:multiLevelType w:val="hybridMultilevel"/>
    <w:tmpl w:val="995E3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A11242"/>
    <w:multiLevelType w:val="hybridMultilevel"/>
    <w:tmpl w:val="DCF2DC8A"/>
    <w:lvl w:ilvl="0" w:tplc="9DC40CEA">
      <w:start w:val="1"/>
      <w:numFmt w:val="decimal"/>
      <w:lvlText w:val="%1."/>
      <w:lvlJc w:val="left"/>
      <w:pPr>
        <w:ind w:left="720" w:hanging="360"/>
      </w:pPr>
      <w:rPr>
        <w:rFonts w:ascii="Arial" w:eastAsia="Times" w:hAnsi="Arial" w:cs="Arial" w:hint="default"/>
        <w:b/>
        <w:color w:val="0070C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127B77"/>
    <w:multiLevelType w:val="hybridMultilevel"/>
    <w:tmpl w:val="C944D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800AA9"/>
    <w:multiLevelType w:val="hybridMultilevel"/>
    <w:tmpl w:val="736C65D6"/>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2" w15:restartNumberingAfterBreak="0">
    <w:nsid w:val="7C8121E8"/>
    <w:multiLevelType w:val="hybridMultilevel"/>
    <w:tmpl w:val="0E483F06"/>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4"/>
  </w:num>
  <w:num w:numId="5">
    <w:abstractNumId w:val="21"/>
  </w:num>
  <w:num w:numId="6">
    <w:abstractNumId w:val="13"/>
  </w:num>
  <w:num w:numId="7">
    <w:abstractNumId w:val="10"/>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
  </w:num>
  <w:num w:numId="12">
    <w:abstractNumId w:val="8"/>
  </w:num>
  <w:num w:numId="13">
    <w:abstractNumId w:val="22"/>
  </w:num>
  <w:num w:numId="14">
    <w:abstractNumId w:val="16"/>
  </w:num>
  <w:num w:numId="15">
    <w:abstractNumId w:val="5"/>
  </w:num>
  <w:num w:numId="16">
    <w:abstractNumId w:val="6"/>
  </w:num>
  <w:num w:numId="17">
    <w:abstractNumId w:val="0"/>
  </w:num>
  <w:num w:numId="18">
    <w:abstractNumId w:val="2"/>
  </w:num>
  <w:num w:numId="19">
    <w:abstractNumId w:val="12"/>
  </w:num>
  <w:num w:numId="20">
    <w:abstractNumId w:val="3"/>
  </w:num>
  <w:num w:numId="21">
    <w:abstractNumId w:val="20"/>
  </w:num>
  <w:num w:numId="22">
    <w:abstractNumId w:val="9"/>
  </w:num>
  <w:num w:numId="23">
    <w:abstractNumId w:val="10"/>
  </w:num>
  <w:num w:numId="24">
    <w:abstractNumId w:val="7"/>
  </w:num>
  <w:num w:numId="25">
    <w:abstractNumId w:val="10"/>
  </w:num>
  <w:num w:numId="26">
    <w:abstractNumId w:val="15"/>
  </w:num>
  <w:num w:numId="27">
    <w:abstractNumId w:val="1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N7Y0NDczNTOyMDZU0lEKTi0uzszPAymwrAUA75sXQiwAAAA="/>
  </w:docVars>
  <w:rsids>
    <w:rsidRoot w:val="007863B9"/>
    <w:rsid w:val="00000591"/>
    <w:rsid w:val="00011F1B"/>
    <w:rsid w:val="000225B7"/>
    <w:rsid w:val="00034DB9"/>
    <w:rsid w:val="000418E0"/>
    <w:rsid w:val="00043F23"/>
    <w:rsid w:val="0004470E"/>
    <w:rsid w:val="00047939"/>
    <w:rsid w:val="00051F8C"/>
    <w:rsid w:val="00053B12"/>
    <w:rsid w:val="0005470D"/>
    <w:rsid w:val="0005509E"/>
    <w:rsid w:val="00057D49"/>
    <w:rsid w:val="00066A8F"/>
    <w:rsid w:val="00080B9D"/>
    <w:rsid w:val="000903E7"/>
    <w:rsid w:val="00091495"/>
    <w:rsid w:val="000953C7"/>
    <w:rsid w:val="000A38DB"/>
    <w:rsid w:val="000B0EBF"/>
    <w:rsid w:val="000B2520"/>
    <w:rsid w:val="000B3F4C"/>
    <w:rsid w:val="000B5D5B"/>
    <w:rsid w:val="000C3FB8"/>
    <w:rsid w:val="000C5E1C"/>
    <w:rsid w:val="000C6337"/>
    <w:rsid w:val="000C6E8B"/>
    <w:rsid w:val="000D1A47"/>
    <w:rsid w:val="000D51EE"/>
    <w:rsid w:val="000D7A4D"/>
    <w:rsid w:val="000E5B66"/>
    <w:rsid w:val="000F25BF"/>
    <w:rsid w:val="00101032"/>
    <w:rsid w:val="00104427"/>
    <w:rsid w:val="0011319E"/>
    <w:rsid w:val="00115D83"/>
    <w:rsid w:val="00127BD7"/>
    <w:rsid w:val="00133928"/>
    <w:rsid w:val="00133A4B"/>
    <w:rsid w:val="0013483E"/>
    <w:rsid w:val="0014084A"/>
    <w:rsid w:val="0015054F"/>
    <w:rsid w:val="00153A46"/>
    <w:rsid w:val="0015528D"/>
    <w:rsid w:val="00156DCF"/>
    <w:rsid w:val="001571B5"/>
    <w:rsid w:val="00166C91"/>
    <w:rsid w:val="00166CCB"/>
    <w:rsid w:val="001731CF"/>
    <w:rsid w:val="001757EB"/>
    <w:rsid w:val="0018129B"/>
    <w:rsid w:val="00181E05"/>
    <w:rsid w:val="001834FB"/>
    <w:rsid w:val="00187F13"/>
    <w:rsid w:val="00192BCF"/>
    <w:rsid w:val="00194E4E"/>
    <w:rsid w:val="001A09B0"/>
    <w:rsid w:val="001A125C"/>
    <w:rsid w:val="001A2F16"/>
    <w:rsid w:val="001A3D48"/>
    <w:rsid w:val="001A5DD6"/>
    <w:rsid w:val="001B20AF"/>
    <w:rsid w:val="001B48A8"/>
    <w:rsid w:val="001B4DAC"/>
    <w:rsid w:val="001C0A61"/>
    <w:rsid w:val="001C2DDC"/>
    <w:rsid w:val="001C4FDD"/>
    <w:rsid w:val="001D18AF"/>
    <w:rsid w:val="001D390A"/>
    <w:rsid w:val="001D7B9F"/>
    <w:rsid w:val="001E314A"/>
    <w:rsid w:val="001E4487"/>
    <w:rsid w:val="001F132D"/>
    <w:rsid w:val="002029E5"/>
    <w:rsid w:val="0020756C"/>
    <w:rsid w:val="002137EB"/>
    <w:rsid w:val="00214229"/>
    <w:rsid w:val="00215A07"/>
    <w:rsid w:val="0022030C"/>
    <w:rsid w:val="00221803"/>
    <w:rsid w:val="00221F0A"/>
    <w:rsid w:val="002305B1"/>
    <w:rsid w:val="00230D0C"/>
    <w:rsid w:val="002310D1"/>
    <w:rsid w:val="002312C7"/>
    <w:rsid w:val="002379ED"/>
    <w:rsid w:val="00241F2B"/>
    <w:rsid w:val="00245EDD"/>
    <w:rsid w:val="002509D4"/>
    <w:rsid w:val="00250B43"/>
    <w:rsid w:val="00254DE4"/>
    <w:rsid w:val="00256069"/>
    <w:rsid w:val="00267408"/>
    <w:rsid w:val="00272B19"/>
    <w:rsid w:val="00273F74"/>
    <w:rsid w:val="00297D8A"/>
    <w:rsid w:val="002A0DBB"/>
    <w:rsid w:val="002A1E8B"/>
    <w:rsid w:val="002A4660"/>
    <w:rsid w:val="002B26D4"/>
    <w:rsid w:val="002C0609"/>
    <w:rsid w:val="002C1D30"/>
    <w:rsid w:val="002C72AA"/>
    <w:rsid w:val="002D1E40"/>
    <w:rsid w:val="002D67FF"/>
    <w:rsid w:val="002E3266"/>
    <w:rsid w:val="002F703D"/>
    <w:rsid w:val="00302EBF"/>
    <w:rsid w:val="003104F8"/>
    <w:rsid w:val="00314A03"/>
    <w:rsid w:val="003153DF"/>
    <w:rsid w:val="00326BB7"/>
    <w:rsid w:val="003337A9"/>
    <w:rsid w:val="00335EDB"/>
    <w:rsid w:val="00336974"/>
    <w:rsid w:val="0034109B"/>
    <w:rsid w:val="00341A19"/>
    <w:rsid w:val="00342E59"/>
    <w:rsid w:val="00343505"/>
    <w:rsid w:val="00356A86"/>
    <w:rsid w:val="00357A05"/>
    <w:rsid w:val="0036452C"/>
    <w:rsid w:val="00373431"/>
    <w:rsid w:val="00373D67"/>
    <w:rsid w:val="003742E5"/>
    <w:rsid w:val="00381BD8"/>
    <w:rsid w:val="003826AB"/>
    <w:rsid w:val="00383BA2"/>
    <w:rsid w:val="003869C4"/>
    <w:rsid w:val="003945F2"/>
    <w:rsid w:val="003A0BD4"/>
    <w:rsid w:val="003A1820"/>
    <w:rsid w:val="003A1DBF"/>
    <w:rsid w:val="003A2F7B"/>
    <w:rsid w:val="003A3448"/>
    <w:rsid w:val="003A5771"/>
    <w:rsid w:val="003A7453"/>
    <w:rsid w:val="003B6646"/>
    <w:rsid w:val="003C3DF0"/>
    <w:rsid w:val="003C56F1"/>
    <w:rsid w:val="003D2CE6"/>
    <w:rsid w:val="003D2FC8"/>
    <w:rsid w:val="003D5B4F"/>
    <w:rsid w:val="003D70AB"/>
    <w:rsid w:val="003E2747"/>
    <w:rsid w:val="003E5A94"/>
    <w:rsid w:val="003E5C92"/>
    <w:rsid w:val="003F168D"/>
    <w:rsid w:val="003F4A21"/>
    <w:rsid w:val="003F4FAC"/>
    <w:rsid w:val="003F709D"/>
    <w:rsid w:val="004030D2"/>
    <w:rsid w:val="00405306"/>
    <w:rsid w:val="00406238"/>
    <w:rsid w:val="00406C62"/>
    <w:rsid w:val="00407047"/>
    <w:rsid w:val="004136BA"/>
    <w:rsid w:val="004163DE"/>
    <w:rsid w:val="0041641C"/>
    <w:rsid w:val="004172DF"/>
    <w:rsid w:val="00421348"/>
    <w:rsid w:val="00446FFA"/>
    <w:rsid w:val="00453756"/>
    <w:rsid w:val="004539AB"/>
    <w:rsid w:val="00454B8C"/>
    <w:rsid w:val="004574D6"/>
    <w:rsid w:val="00457981"/>
    <w:rsid w:val="004610DE"/>
    <w:rsid w:val="0046599A"/>
    <w:rsid w:val="00465D93"/>
    <w:rsid w:val="00467464"/>
    <w:rsid w:val="004752FF"/>
    <w:rsid w:val="00475AE1"/>
    <w:rsid w:val="00481FCA"/>
    <w:rsid w:val="0048589A"/>
    <w:rsid w:val="004868A8"/>
    <w:rsid w:val="00490D5C"/>
    <w:rsid w:val="004928C4"/>
    <w:rsid w:val="00492F3C"/>
    <w:rsid w:val="004A5311"/>
    <w:rsid w:val="004A683D"/>
    <w:rsid w:val="004B17E0"/>
    <w:rsid w:val="004B1879"/>
    <w:rsid w:val="004B4800"/>
    <w:rsid w:val="004B4F78"/>
    <w:rsid w:val="004B7EC0"/>
    <w:rsid w:val="004C2FC3"/>
    <w:rsid w:val="004C3410"/>
    <w:rsid w:val="004C3A55"/>
    <w:rsid w:val="004C7F4B"/>
    <w:rsid w:val="004D187F"/>
    <w:rsid w:val="004D294A"/>
    <w:rsid w:val="004D6B3C"/>
    <w:rsid w:val="004D72CF"/>
    <w:rsid w:val="004E2E91"/>
    <w:rsid w:val="004E4CCF"/>
    <w:rsid w:val="004E4E95"/>
    <w:rsid w:val="004F0283"/>
    <w:rsid w:val="004F0BCC"/>
    <w:rsid w:val="004F236A"/>
    <w:rsid w:val="004F319B"/>
    <w:rsid w:val="004F4D0E"/>
    <w:rsid w:val="00500087"/>
    <w:rsid w:val="00501B80"/>
    <w:rsid w:val="005056FB"/>
    <w:rsid w:val="005058AC"/>
    <w:rsid w:val="005257EB"/>
    <w:rsid w:val="00530584"/>
    <w:rsid w:val="005317DD"/>
    <w:rsid w:val="00533020"/>
    <w:rsid w:val="00533AB6"/>
    <w:rsid w:val="0054221D"/>
    <w:rsid w:val="00547AE1"/>
    <w:rsid w:val="00553E86"/>
    <w:rsid w:val="00553FF5"/>
    <w:rsid w:val="00554093"/>
    <w:rsid w:val="005579DB"/>
    <w:rsid w:val="005633B6"/>
    <w:rsid w:val="00564BEF"/>
    <w:rsid w:val="00576840"/>
    <w:rsid w:val="00582E96"/>
    <w:rsid w:val="005833D4"/>
    <w:rsid w:val="00585E80"/>
    <w:rsid w:val="00591B9D"/>
    <w:rsid w:val="005938A6"/>
    <w:rsid w:val="005945F9"/>
    <w:rsid w:val="00594D13"/>
    <w:rsid w:val="005A0A6A"/>
    <w:rsid w:val="005A1C1C"/>
    <w:rsid w:val="005B47B9"/>
    <w:rsid w:val="005B592E"/>
    <w:rsid w:val="005C331D"/>
    <w:rsid w:val="005C3FD3"/>
    <w:rsid w:val="005C5E75"/>
    <w:rsid w:val="005D0D37"/>
    <w:rsid w:val="005D484B"/>
    <w:rsid w:val="005E0643"/>
    <w:rsid w:val="005F3D2C"/>
    <w:rsid w:val="005F40C0"/>
    <w:rsid w:val="0060077F"/>
    <w:rsid w:val="00603BF3"/>
    <w:rsid w:val="00604636"/>
    <w:rsid w:val="00604CD9"/>
    <w:rsid w:val="00606432"/>
    <w:rsid w:val="00607E9A"/>
    <w:rsid w:val="006113BE"/>
    <w:rsid w:val="00615FAA"/>
    <w:rsid w:val="006179A9"/>
    <w:rsid w:val="00623274"/>
    <w:rsid w:val="00623F20"/>
    <w:rsid w:val="00624248"/>
    <w:rsid w:val="00625D59"/>
    <w:rsid w:val="00631517"/>
    <w:rsid w:val="00634C60"/>
    <w:rsid w:val="00640C14"/>
    <w:rsid w:val="006420B8"/>
    <w:rsid w:val="00651378"/>
    <w:rsid w:val="00652DFA"/>
    <w:rsid w:val="006538BB"/>
    <w:rsid w:val="00653B15"/>
    <w:rsid w:val="0065456F"/>
    <w:rsid w:val="00656BF6"/>
    <w:rsid w:val="00657483"/>
    <w:rsid w:val="006604C1"/>
    <w:rsid w:val="00663E07"/>
    <w:rsid w:val="006701E9"/>
    <w:rsid w:val="00675945"/>
    <w:rsid w:val="0068179F"/>
    <w:rsid w:val="006864E8"/>
    <w:rsid w:val="00686527"/>
    <w:rsid w:val="00687F73"/>
    <w:rsid w:val="00693DCF"/>
    <w:rsid w:val="006A4513"/>
    <w:rsid w:val="006A5B4D"/>
    <w:rsid w:val="006A605E"/>
    <w:rsid w:val="006A7411"/>
    <w:rsid w:val="006B08A4"/>
    <w:rsid w:val="006B1B7D"/>
    <w:rsid w:val="006B669C"/>
    <w:rsid w:val="006B74BA"/>
    <w:rsid w:val="006C1EE4"/>
    <w:rsid w:val="006C452C"/>
    <w:rsid w:val="006C4F76"/>
    <w:rsid w:val="006C750E"/>
    <w:rsid w:val="006C7B08"/>
    <w:rsid w:val="006D17F0"/>
    <w:rsid w:val="006D48C5"/>
    <w:rsid w:val="006D4FE3"/>
    <w:rsid w:val="006D537E"/>
    <w:rsid w:val="006D6757"/>
    <w:rsid w:val="006E7118"/>
    <w:rsid w:val="006F0ACB"/>
    <w:rsid w:val="007026EF"/>
    <w:rsid w:val="007057A6"/>
    <w:rsid w:val="00707E90"/>
    <w:rsid w:val="007118CC"/>
    <w:rsid w:val="00711BFC"/>
    <w:rsid w:val="00713783"/>
    <w:rsid w:val="00714845"/>
    <w:rsid w:val="007167A1"/>
    <w:rsid w:val="007209F2"/>
    <w:rsid w:val="00722040"/>
    <w:rsid w:val="00722261"/>
    <w:rsid w:val="00722E3E"/>
    <w:rsid w:val="0072331C"/>
    <w:rsid w:val="0072343C"/>
    <w:rsid w:val="00735E32"/>
    <w:rsid w:val="007404D1"/>
    <w:rsid w:val="007417DC"/>
    <w:rsid w:val="00745DC4"/>
    <w:rsid w:val="00746D37"/>
    <w:rsid w:val="00746EDB"/>
    <w:rsid w:val="00750530"/>
    <w:rsid w:val="00752689"/>
    <w:rsid w:val="00753193"/>
    <w:rsid w:val="00754929"/>
    <w:rsid w:val="00762306"/>
    <w:rsid w:val="00781F67"/>
    <w:rsid w:val="007863B9"/>
    <w:rsid w:val="00791F4F"/>
    <w:rsid w:val="00793134"/>
    <w:rsid w:val="007950D6"/>
    <w:rsid w:val="00796995"/>
    <w:rsid w:val="00797A95"/>
    <w:rsid w:val="007A7EA6"/>
    <w:rsid w:val="007B11AE"/>
    <w:rsid w:val="007B13E2"/>
    <w:rsid w:val="007B2674"/>
    <w:rsid w:val="007B2902"/>
    <w:rsid w:val="007B3B71"/>
    <w:rsid w:val="007B5A88"/>
    <w:rsid w:val="007D1634"/>
    <w:rsid w:val="007D2027"/>
    <w:rsid w:val="007E22EE"/>
    <w:rsid w:val="007F0B96"/>
    <w:rsid w:val="007F1781"/>
    <w:rsid w:val="007F490F"/>
    <w:rsid w:val="007F49B6"/>
    <w:rsid w:val="007F5613"/>
    <w:rsid w:val="00801B93"/>
    <w:rsid w:val="008020BF"/>
    <w:rsid w:val="00803201"/>
    <w:rsid w:val="00804B5B"/>
    <w:rsid w:val="00807B72"/>
    <w:rsid w:val="00810D38"/>
    <w:rsid w:val="0081492A"/>
    <w:rsid w:val="0081614E"/>
    <w:rsid w:val="00824650"/>
    <w:rsid w:val="008274BE"/>
    <w:rsid w:val="00830442"/>
    <w:rsid w:val="00830A80"/>
    <w:rsid w:val="00836737"/>
    <w:rsid w:val="00850D73"/>
    <w:rsid w:val="0085471D"/>
    <w:rsid w:val="008554CC"/>
    <w:rsid w:val="00857353"/>
    <w:rsid w:val="00857F7E"/>
    <w:rsid w:val="0086015E"/>
    <w:rsid w:val="008610B7"/>
    <w:rsid w:val="00863835"/>
    <w:rsid w:val="00872AF5"/>
    <w:rsid w:val="00872BE0"/>
    <w:rsid w:val="008736B7"/>
    <w:rsid w:val="00884F10"/>
    <w:rsid w:val="00885953"/>
    <w:rsid w:val="008867E1"/>
    <w:rsid w:val="008906C9"/>
    <w:rsid w:val="008A1609"/>
    <w:rsid w:val="008A357E"/>
    <w:rsid w:val="008A558F"/>
    <w:rsid w:val="008A6A64"/>
    <w:rsid w:val="008B0FC5"/>
    <w:rsid w:val="008B3947"/>
    <w:rsid w:val="008B6C20"/>
    <w:rsid w:val="008B7965"/>
    <w:rsid w:val="008C0B98"/>
    <w:rsid w:val="008C207B"/>
    <w:rsid w:val="008C2BA8"/>
    <w:rsid w:val="008C6D39"/>
    <w:rsid w:val="008D3300"/>
    <w:rsid w:val="008D5226"/>
    <w:rsid w:val="008D526F"/>
    <w:rsid w:val="008E2073"/>
    <w:rsid w:val="008E63F1"/>
    <w:rsid w:val="008F1AF6"/>
    <w:rsid w:val="008F284E"/>
    <w:rsid w:val="008F2D4B"/>
    <w:rsid w:val="008F496D"/>
    <w:rsid w:val="008F7257"/>
    <w:rsid w:val="00901F7A"/>
    <w:rsid w:val="00902E0C"/>
    <w:rsid w:val="00904273"/>
    <w:rsid w:val="009079A5"/>
    <w:rsid w:val="00907D86"/>
    <w:rsid w:val="0091060E"/>
    <w:rsid w:val="009106AC"/>
    <w:rsid w:val="009106BE"/>
    <w:rsid w:val="00916A94"/>
    <w:rsid w:val="00923212"/>
    <w:rsid w:val="00927580"/>
    <w:rsid w:val="00930BB2"/>
    <w:rsid w:val="0093334B"/>
    <w:rsid w:val="00935C73"/>
    <w:rsid w:val="009412F3"/>
    <w:rsid w:val="0094267D"/>
    <w:rsid w:val="00945D05"/>
    <w:rsid w:val="00951E2D"/>
    <w:rsid w:val="00954219"/>
    <w:rsid w:val="00961C56"/>
    <w:rsid w:val="009663B2"/>
    <w:rsid w:val="0096641C"/>
    <w:rsid w:val="009742A7"/>
    <w:rsid w:val="0098176B"/>
    <w:rsid w:val="00982952"/>
    <w:rsid w:val="00984151"/>
    <w:rsid w:val="00984F21"/>
    <w:rsid w:val="00993AA8"/>
    <w:rsid w:val="00994120"/>
    <w:rsid w:val="0099699A"/>
    <w:rsid w:val="009A15E0"/>
    <w:rsid w:val="009B00EB"/>
    <w:rsid w:val="009B404B"/>
    <w:rsid w:val="009B68DE"/>
    <w:rsid w:val="009C0B87"/>
    <w:rsid w:val="009C5E94"/>
    <w:rsid w:val="009C71A1"/>
    <w:rsid w:val="009D4CE0"/>
    <w:rsid w:val="009D783D"/>
    <w:rsid w:val="009D7B6F"/>
    <w:rsid w:val="009E0522"/>
    <w:rsid w:val="009E07CB"/>
    <w:rsid w:val="009E3882"/>
    <w:rsid w:val="009F4E78"/>
    <w:rsid w:val="009F584B"/>
    <w:rsid w:val="00A010F0"/>
    <w:rsid w:val="00A01211"/>
    <w:rsid w:val="00A01F46"/>
    <w:rsid w:val="00A138BC"/>
    <w:rsid w:val="00A14BD5"/>
    <w:rsid w:val="00A20581"/>
    <w:rsid w:val="00A20992"/>
    <w:rsid w:val="00A26FB6"/>
    <w:rsid w:val="00A3035E"/>
    <w:rsid w:val="00A30572"/>
    <w:rsid w:val="00A32622"/>
    <w:rsid w:val="00A326D1"/>
    <w:rsid w:val="00A34CEB"/>
    <w:rsid w:val="00A35007"/>
    <w:rsid w:val="00A40A4F"/>
    <w:rsid w:val="00A429A8"/>
    <w:rsid w:val="00A43F97"/>
    <w:rsid w:val="00A4609D"/>
    <w:rsid w:val="00A61AEE"/>
    <w:rsid w:val="00A623EE"/>
    <w:rsid w:val="00A7133E"/>
    <w:rsid w:val="00A7376D"/>
    <w:rsid w:val="00A742E2"/>
    <w:rsid w:val="00A76150"/>
    <w:rsid w:val="00A81098"/>
    <w:rsid w:val="00A82022"/>
    <w:rsid w:val="00A864A4"/>
    <w:rsid w:val="00AA3BE9"/>
    <w:rsid w:val="00AB2330"/>
    <w:rsid w:val="00AB4569"/>
    <w:rsid w:val="00AB65B7"/>
    <w:rsid w:val="00AC3FBB"/>
    <w:rsid w:val="00AD4F1B"/>
    <w:rsid w:val="00AE09CD"/>
    <w:rsid w:val="00AF1DEE"/>
    <w:rsid w:val="00AF66E6"/>
    <w:rsid w:val="00AF68C1"/>
    <w:rsid w:val="00AF7D55"/>
    <w:rsid w:val="00B044AE"/>
    <w:rsid w:val="00B05D55"/>
    <w:rsid w:val="00B07BD8"/>
    <w:rsid w:val="00B231C0"/>
    <w:rsid w:val="00B23423"/>
    <w:rsid w:val="00B24AC4"/>
    <w:rsid w:val="00B32408"/>
    <w:rsid w:val="00B356CF"/>
    <w:rsid w:val="00B36113"/>
    <w:rsid w:val="00B41E00"/>
    <w:rsid w:val="00B42F7E"/>
    <w:rsid w:val="00B43BA2"/>
    <w:rsid w:val="00B43FE7"/>
    <w:rsid w:val="00B45BFE"/>
    <w:rsid w:val="00B55D25"/>
    <w:rsid w:val="00B56C6F"/>
    <w:rsid w:val="00B57424"/>
    <w:rsid w:val="00B615BF"/>
    <w:rsid w:val="00B6177F"/>
    <w:rsid w:val="00B61C89"/>
    <w:rsid w:val="00B6441A"/>
    <w:rsid w:val="00B66FAA"/>
    <w:rsid w:val="00B749EF"/>
    <w:rsid w:val="00B766F1"/>
    <w:rsid w:val="00B76DB7"/>
    <w:rsid w:val="00B77701"/>
    <w:rsid w:val="00B800C2"/>
    <w:rsid w:val="00B80371"/>
    <w:rsid w:val="00B91512"/>
    <w:rsid w:val="00B97052"/>
    <w:rsid w:val="00BB0408"/>
    <w:rsid w:val="00BB56E7"/>
    <w:rsid w:val="00BD2A6A"/>
    <w:rsid w:val="00BD4920"/>
    <w:rsid w:val="00BD6334"/>
    <w:rsid w:val="00BD7203"/>
    <w:rsid w:val="00BD7839"/>
    <w:rsid w:val="00BF3A6D"/>
    <w:rsid w:val="00C00D8D"/>
    <w:rsid w:val="00C016EA"/>
    <w:rsid w:val="00C11BF4"/>
    <w:rsid w:val="00C11CE3"/>
    <w:rsid w:val="00C12DF8"/>
    <w:rsid w:val="00C20D30"/>
    <w:rsid w:val="00C23E4A"/>
    <w:rsid w:val="00C252ED"/>
    <w:rsid w:val="00C2655C"/>
    <w:rsid w:val="00C305B4"/>
    <w:rsid w:val="00C3280D"/>
    <w:rsid w:val="00C3522D"/>
    <w:rsid w:val="00C36DD3"/>
    <w:rsid w:val="00C41B6A"/>
    <w:rsid w:val="00C435AD"/>
    <w:rsid w:val="00C43E9A"/>
    <w:rsid w:val="00C44BB9"/>
    <w:rsid w:val="00C5534E"/>
    <w:rsid w:val="00C57911"/>
    <w:rsid w:val="00C57987"/>
    <w:rsid w:val="00C57BA3"/>
    <w:rsid w:val="00C60E22"/>
    <w:rsid w:val="00C62D3D"/>
    <w:rsid w:val="00C635AC"/>
    <w:rsid w:val="00C721BE"/>
    <w:rsid w:val="00C754EF"/>
    <w:rsid w:val="00C80CD4"/>
    <w:rsid w:val="00C83397"/>
    <w:rsid w:val="00C87523"/>
    <w:rsid w:val="00C95604"/>
    <w:rsid w:val="00CA3225"/>
    <w:rsid w:val="00CA3549"/>
    <w:rsid w:val="00CA6807"/>
    <w:rsid w:val="00CB2045"/>
    <w:rsid w:val="00CB419E"/>
    <w:rsid w:val="00CC0011"/>
    <w:rsid w:val="00CC2497"/>
    <w:rsid w:val="00CC75A9"/>
    <w:rsid w:val="00CD1868"/>
    <w:rsid w:val="00CD2B3B"/>
    <w:rsid w:val="00CD3498"/>
    <w:rsid w:val="00CD3B7F"/>
    <w:rsid w:val="00CD7C39"/>
    <w:rsid w:val="00CE02E3"/>
    <w:rsid w:val="00CE558D"/>
    <w:rsid w:val="00CE6BBA"/>
    <w:rsid w:val="00CF4CED"/>
    <w:rsid w:val="00D0400B"/>
    <w:rsid w:val="00D12C9B"/>
    <w:rsid w:val="00D13A5B"/>
    <w:rsid w:val="00D200D6"/>
    <w:rsid w:val="00D2077D"/>
    <w:rsid w:val="00D21444"/>
    <w:rsid w:val="00D21623"/>
    <w:rsid w:val="00D22AD0"/>
    <w:rsid w:val="00D23F4B"/>
    <w:rsid w:val="00D25B79"/>
    <w:rsid w:val="00D26650"/>
    <w:rsid w:val="00D26DBB"/>
    <w:rsid w:val="00D26E5C"/>
    <w:rsid w:val="00D3022D"/>
    <w:rsid w:val="00D34A42"/>
    <w:rsid w:val="00D37729"/>
    <w:rsid w:val="00D40971"/>
    <w:rsid w:val="00D5279A"/>
    <w:rsid w:val="00D57D75"/>
    <w:rsid w:val="00D60BB2"/>
    <w:rsid w:val="00D633CB"/>
    <w:rsid w:val="00D667EB"/>
    <w:rsid w:val="00D70531"/>
    <w:rsid w:val="00D73BD4"/>
    <w:rsid w:val="00D744DD"/>
    <w:rsid w:val="00D7739D"/>
    <w:rsid w:val="00D802D0"/>
    <w:rsid w:val="00D80DD0"/>
    <w:rsid w:val="00D828F7"/>
    <w:rsid w:val="00D83A74"/>
    <w:rsid w:val="00D85902"/>
    <w:rsid w:val="00D90B0A"/>
    <w:rsid w:val="00D9374E"/>
    <w:rsid w:val="00D9638B"/>
    <w:rsid w:val="00DA048E"/>
    <w:rsid w:val="00DB04F3"/>
    <w:rsid w:val="00DB262F"/>
    <w:rsid w:val="00DB2DEE"/>
    <w:rsid w:val="00DB5BDF"/>
    <w:rsid w:val="00DB5DA2"/>
    <w:rsid w:val="00DC04C1"/>
    <w:rsid w:val="00DC05EC"/>
    <w:rsid w:val="00DC457C"/>
    <w:rsid w:val="00DD091C"/>
    <w:rsid w:val="00DD4E85"/>
    <w:rsid w:val="00DE065E"/>
    <w:rsid w:val="00DE089D"/>
    <w:rsid w:val="00DE0D7F"/>
    <w:rsid w:val="00DE0FF6"/>
    <w:rsid w:val="00DE11C2"/>
    <w:rsid w:val="00DE2A4A"/>
    <w:rsid w:val="00DE2A7E"/>
    <w:rsid w:val="00DE2E78"/>
    <w:rsid w:val="00DE6606"/>
    <w:rsid w:val="00DF692F"/>
    <w:rsid w:val="00E12658"/>
    <w:rsid w:val="00E14194"/>
    <w:rsid w:val="00E14D0F"/>
    <w:rsid w:val="00E16D5A"/>
    <w:rsid w:val="00E20362"/>
    <w:rsid w:val="00E249EE"/>
    <w:rsid w:val="00E36205"/>
    <w:rsid w:val="00E47B03"/>
    <w:rsid w:val="00E56BA9"/>
    <w:rsid w:val="00E57909"/>
    <w:rsid w:val="00E65ED8"/>
    <w:rsid w:val="00E66138"/>
    <w:rsid w:val="00E661DF"/>
    <w:rsid w:val="00E66BC1"/>
    <w:rsid w:val="00E66FB1"/>
    <w:rsid w:val="00E74B1A"/>
    <w:rsid w:val="00E74E65"/>
    <w:rsid w:val="00E7527A"/>
    <w:rsid w:val="00E75802"/>
    <w:rsid w:val="00E808F1"/>
    <w:rsid w:val="00E85FD8"/>
    <w:rsid w:val="00E91CD2"/>
    <w:rsid w:val="00E9440E"/>
    <w:rsid w:val="00E94DC1"/>
    <w:rsid w:val="00E9541A"/>
    <w:rsid w:val="00EA366B"/>
    <w:rsid w:val="00EB09DC"/>
    <w:rsid w:val="00EC24EF"/>
    <w:rsid w:val="00ED0036"/>
    <w:rsid w:val="00ED0BE8"/>
    <w:rsid w:val="00ED7B23"/>
    <w:rsid w:val="00EE36D8"/>
    <w:rsid w:val="00EE60FB"/>
    <w:rsid w:val="00EE6FC7"/>
    <w:rsid w:val="00F03116"/>
    <w:rsid w:val="00F06228"/>
    <w:rsid w:val="00F14B23"/>
    <w:rsid w:val="00F2325E"/>
    <w:rsid w:val="00F273B7"/>
    <w:rsid w:val="00F30A32"/>
    <w:rsid w:val="00F31095"/>
    <w:rsid w:val="00F32755"/>
    <w:rsid w:val="00F334EC"/>
    <w:rsid w:val="00F47ACF"/>
    <w:rsid w:val="00F50F0C"/>
    <w:rsid w:val="00F52F44"/>
    <w:rsid w:val="00F5504D"/>
    <w:rsid w:val="00F5593E"/>
    <w:rsid w:val="00F57C8C"/>
    <w:rsid w:val="00F620DC"/>
    <w:rsid w:val="00F70A0A"/>
    <w:rsid w:val="00F72554"/>
    <w:rsid w:val="00F74D1E"/>
    <w:rsid w:val="00F77037"/>
    <w:rsid w:val="00F7739E"/>
    <w:rsid w:val="00F80F18"/>
    <w:rsid w:val="00F82CE4"/>
    <w:rsid w:val="00F853A0"/>
    <w:rsid w:val="00F915E3"/>
    <w:rsid w:val="00F973C3"/>
    <w:rsid w:val="00FA4F48"/>
    <w:rsid w:val="00FA629E"/>
    <w:rsid w:val="00FB2063"/>
    <w:rsid w:val="00FB6113"/>
    <w:rsid w:val="00FC2A49"/>
    <w:rsid w:val="00FC32FB"/>
    <w:rsid w:val="00FC567A"/>
    <w:rsid w:val="00FC7AD1"/>
    <w:rsid w:val="00FD0CCF"/>
    <w:rsid w:val="00FD6758"/>
    <w:rsid w:val="00FD7E4F"/>
    <w:rsid w:val="00FE57AB"/>
    <w:rsid w:val="00FE668F"/>
    <w:rsid w:val="00FE7503"/>
    <w:rsid w:val="00FF0D36"/>
    <w:rsid w:val="00FF0DC7"/>
    <w:rsid w:val="00FF22D8"/>
    <w:rsid w:val="00FF659D"/>
    <w:rsid w:val="00FF7B22"/>
    <w:rsid w:val="0801B1A2"/>
    <w:rsid w:val="2EA4AEEA"/>
    <w:rsid w:val="3C291451"/>
    <w:rsid w:val="3D51C151"/>
    <w:rsid w:val="415D8593"/>
    <w:rsid w:val="562EB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A86C"/>
  <w15:docId w15:val="{79F7B054-656B-4D38-9A13-C595438B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3B9"/>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7863B9"/>
    <w:pPr>
      <w:keepNext/>
      <w:widowControl w:val="0"/>
      <w:autoSpaceDE w:val="0"/>
      <w:autoSpaceDN w:val="0"/>
      <w:adjustRightInd w:val="0"/>
      <w:ind w:left="720" w:hanging="720"/>
      <w:outlineLvl w:val="0"/>
    </w:pPr>
    <w:rPr>
      <w:rFonts w:ascii="Arial Bold" w:eastAsia="Times New Roman"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3B9"/>
    <w:pPr>
      <w:tabs>
        <w:tab w:val="center" w:pos="4513"/>
        <w:tab w:val="right" w:pos="9026"/>
      </w:tabs>
    </w:pPr>
  </w:style>
  <w:style w:type="character" w:customStyle="1" w:styleId="HeaderChar">
    <w:name w:val="Header Char"/>
    <w:basedOn w:val="DefaultParagraphFont"/>
    <w:link w:val="Header"/>
    <w:uiPriority w:val="99"/>
    <w:rsid w:val="007863B9"/>
  </w:style>
  <w:style w:type="paragraph" w:styleId="Footer">
    <w:name w:val="footer"/>
    <w:basedOn w:val="Normal"/>
    <w:link w:val="FooterChar"/>
    <w:uiPriority w:val="99"/>
    <w:unhideWhenUsed/>
    <w:rsid w:val="007863B9"/>
    <w:pPr>
      <w:tabs>
        <w:tab w:val="center" w:pos="4513"/>
        <w:tab w:val="right" w:pos="9026"/>
      </w:tabs>
    </w:pPr>
  </w:style>
  <w:style w:type="character" w:customStyle="1" w:styleId="FooterChar">
    <w:name w:val="Footer Char"/>
    <w:basedOn w:val="DefaultParagraphFont"/>
    <w:link w:val="Footer"/>
    <w:uiPriority w:val="99"/>
    <w:rsid w:val="007863B9"/>
  </w:style>
  <w:style w:type="character" w:customStyle="1" w:styleId="Heading1Char">
    <w:name w:val="Heading 1 Char"/>
    <w:basedOn w:val="DefaultParagraphFont"/>
    <w:link w:val="Heading1"/>
    <w:rsid w:val="007863B9"/>
    <w:rPr>
      <w:rFonts w:ascii="Arial Bold" w:eastAsia="Times New Roman" w:hAnsi="Arial Bold" w:cs="Times New Roman"/>
      <w:b/>
      <w:sz w:val="20"/>
      <w:szCs w:val="20"/>
      <w:lang w:eastAsia="en-GB"/>
    </w:rPr>
  </w:style>
  <w:style w:type="paragraph" w:styleId="ListParagraph">
    <w:name w:val="List Paragraph"/>
    <w:basedOn w:val="Normal"/>
    <w:uiPriority w:val="34"/>
    <w:qFormat/>
    <w:rsid w:val="007863B9"/>
    <w:pPr>
      <w:ind w:left="720"/>
      <w:contextualSpacing/>
    </w:pPr>
    <w:rPr>
      <w:rFonts w:ascii="Times New Roman" w:eastAsia="Times New Roman" w:hAnsi="Times New Roman"/>
      <w:lang w:eastAsia="en-US"/>
    </w:rPr>
  </w:style>
  <w:style w:type="paragraph" w:styleId="PlainText">
    <w:name w:val="Plain Text"/>
    <w:basedOn w:val="Normal"/>
    <w:link w:val="PlainTextChar"/>
    <w:uiPriority w:val="99"/>
    <w:unhideWhenUsed/>
    <w:rsid w:val="007863B9"/>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7863B9"/>
    <w:rPr>
      <w:rFonts w:ascii="Arial" w:hAnsi="Arial"/>
      <w:sz w:val="20"/>
      <w:szCs w:val="21"/>
    </w:rPr>
  </w:style>
  <w:style w:type="character" w:styleId="Hyperlink">
    <w:name w:val="Hyperlink"/>
    <w:basedOn w:val="DefaultParagraphFont"/>
    <w:uiPriority w:val="99"/>
    <w:rsid w:val="007863B9"/>
    <w:rPr>
      <w:color w:val="0000FF"/>
      <w:u w:val="single"/>
    </w:rPr>
  </w:style>
  <w:style w:type="character" w:styleId="Strong">
    <w:name w:val="Strong"/>
    <w:basedOn w:val="DefaultParagraphFont"/>
    <w:uiPriority w:val="22"/>
    <w:qFormat/>
    <w:rsid w:val="007863B9"/>
    <w:rPr>
      <w:b/>
      <w:bCs/>
    </w:rPr>
  </w:style>
  <w:style w:type="paragraph" w:styleId="BalloonText">
    <w:name w:val="Balloon Text"/>
    <w:basedOn w:val="Normal"/>
    <w:link w:val="BalloonTextChar"/>
    <w:uiPriority w:val="99"/>
    <w:semiHidden/>
    <w:unhideWhenUsed/>
    <w:rsid w:val="00D26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5C"/>
    <w:rPr>
      <w:rFonts w:ascii="Segoe UI" w:eastAsia="Times" w:hAnsi="Segoe UI" w:cs="Segoe UI"/>
      <w:sz w:val="18"/>
      <w:szCs w:val="18"/>
      <w:lang w:eastAsia="en-GB"/>
    </w:rPr>
  </w:style>
  <w:style w:type="character" w:styleId="FollowedHyperlink">
    <w:name w:val="FollowedHyperlink"/>
    <w:basedOn w:val="DefaultParagraphFont"/>
    <w:uiPriority w:val="99"/>
    <w:semiHidden/>
    <w:unhideWhenUsed/>
    <w:rsid w:val="008736B7"/>
    <w:rPr>
      <w:color w:val="954F72" w:themeColor="followedHyperlink"/>
      <w:u w:val="single"/>
    </w:rPr>
  </w:style>
  <w:style w:type="table" w:styleId="TableGrid">
    <w:name w:val="Table Grid"/>
    <w:basedOn w:val="TableNormal"/>
    <w:uiPriority w:val="39"/>
    <w:rsid w:val="00670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99A"/>
    <w:pPr>
      <w:spacing w:before="100" w:beforeAutospacing="1" w:after="100" w:afterAutospacing="1"/>
    </w:pPr>
    <w:rPr>
      <w:rFonts w:ascii="Times New Roman" w:eastAsiaTheme="minorHAnsi" w:hAnsi="Times New Roman"/>
      <w:szCs w:val="24"/>
    </w:rPr>
  </w:style>
  <w:style w:type="character" w:styleId="UnresolvedMention">
    <w:name w:val="Unresolved Mention"/>
    <w:basedOn w:val="DefaultParagraphFont"/>
    <w:uiPriority w:val="99"/>
    <w:semiHidden/>
    <w:unhideWhenUsed/>
    <w:rsid w:val="00A3035E"/>
    <w:rPr>
      <w:color w:val="605E5C"/>
      <w:shd w:val="clear" w:color="auto" w:fill="E1DFDD"/>
    </w:rPr>
  </w:style>
  <w:style w:type="character" w:styleId="CommentReference">
    <w:name w:val="annotation reference"/>
    <w:basedOn w:val="DefaultParagraphFont"/>
    <w:uiPriority w:val="99"/>
    <w:semiHidden/>
    <w:unhideWhenUsed/>
    <w:rsid w:val="006604C1"/>
    <w:rPr>
      <w:sz w:val="16"/>
      <w:szCs w:val="16"/>
    </w:rPr>
  </w:style>
  <w:style w:type="paragraph" w:styleId="CommentText">
    <w:name w:val="annotation text"/>
    <w:basedOn w:val="Normal"/>
    <w:link w:val="CommentTextChar"/>
    <w:uiPriority w:val="99"/>
    <w:semiHidden/>
    <w:unhideWhenUsed/>
    <w:rsid w:val="006604C1"/>
    <w:rPr>
      <w:sz w:val="20"/>
    </w:rPr>
  </w:style>
  <w:style w:type="character" w:customStyle="1" w:styleId="CommentTextChar">
    <w:name w:val="Comment Text Char"/>
    <w:basedOn w:val="DefaultParagraphFont"/>
    <w:link w:val="CommentText"/>
    <w:uiPriority w:val="99"/>
    <w:semiHidden/>
    <w:rsid w:val="006604C1"/>
    <w:rPr>
      <w:rFonts w:ascii="Times" w:eastAsia="Times"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604C1"/>
    <w:rPr>
      <w:b/>
      <w:bCs/>
    </w:rPr>
  </w:style>
  <w:style w:type="character" w:customStyle="1" w:styleId="CommentSubjectChar">
    <w:name w:val="Comment Subject Char"/>
    <w:basedOn w:val="CommentTextChar"/>
    <w:link w:val="CommentSubject"/>
    <w:uiPriority w:val="99"/>
    <w:semiHidden/>
    <w:rsid w:val="006604C1"/>
    <w:rPr>
      <w:rFonts w:ascii="Times" w:eastAsia="Times" w:hAnsi="Times" w:cs="Times New Roman"/>
      <w:b/>
      <w:bCs/>
      <w:sz w:val="20"/>
      <w:szCs w:val="20"/>
      <w:lang w:eastAsia="en-GB"/>
    </w:rPr>
  </w:style>
  <w:style w:type="paragraph" w:styleId="Revision">
    <w:name w:val="Revision"/>
    <w:hidden/>
    <w:uiPriority w:val="99"/>
    <w:semiHidden/>
    <w:rsid w:val="000A38DB"/>
    <w:pPr>
      <w:spacing w:after="0" w:line="240" w:lineRule="auto"/>
    </w:pPr>
    <w:rPr>
      <w:rFonts w:ascii="Times" w:eastAsia="Times" w:hAnsi="Times" w:cs="Times New Roman"/>
      <w:sz w:val="24"/>
      <w:szCs w:val="20"/>
      <w:lang w:eastAsia="en-GB"/>
    </w:rPr>
  </w:style>
  <w:style w:type="paragraph" w:styleId="FootnoteText">
    <w:name w:val="footnote text"/>
    <w:basedOn w:val="Normal"/>
    <w:link w:val="FootnoteTextChar"/>
    <w:uiPriority w:val="99"/>
    <w:semiHidden/>
    <w:unhideWhenUsed/>
    <w:rsid w:val="00DA048E"/>
    <w:rPr>
      <w:sz w:val="20"/>
    </w:rPr>
  </w:style>
  <w:style w:type="character" w:customStyle="1" w:styleId="FootnoteTextChar">
    <w:name w:val="Footnote Text Char"/>
    <w:basedOn w:val="DefaultParagraphFont"/>
    <w:link w:val="FootnoteText"/>
    <w:uiPriority w:val="99"/>
    <w:semiHidden/>
    <w:rsid w:val="00DA048E"/>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DA0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7091">
      <w:bodyDiv w:val="1"/>
      <w:marLeft w:val="0"/>
      <w:marRight w:val="0"/>
      <w:marTop w:val="0"/>
      <w:marBottom w:val="0"/>
      <w:divBdr>
        <w:top w:val="none" w:sz="0" w:space="0" w:color="auto"/>
        <w:left w:val="none" w:sz="0" w:space="0" w:color="auto"/>
        <w:bottom w:val="none" w:sz="0" w:space="0" w:color="auto"/>
        <w:right w:val="none" w:sz="0" w:space="0" w:color="auto"/>
      </w:divBdr>
    </w:div>
    <w:div w:id="64694731">
      <w:bodyDiv w:val="1"/>
      <w:marLeft w:val="0"/>
      <w:marRight w:val="0"/>
      <w:marTop w:val="0"/>
      <w:marBottom w:val="0"/>
      <w:divBdr>
        <w:top w:val="none" w:sz="0" w:space="0" w:color="auto"/>
        <w:left w:val="none" w:sz="0" w:space="0" w:color="auto"/>
        <w:bottom w:val="none" w:sz="0" w:space="0" w:color="auto"/>
        <w:right w:val="none" w:sz="0" w:space="0" w:color="auto"/>
      </w:divBdr>
    </w:div>
    <w:div w:id="173082271">
      <w:bodyDiv w:val="1"/>
      <w:marLeft w:val="0"/>
      <w:marRight w:val="0"/>
      <w:marTop w:val="0"/>
      <w:marBottom w:val="0"/>
      <w:divBdr>
        <w:top w:val="none" w:sz="0" w:space="0" w:color="auto"/>
        <w:left w:val="none" w:sz="0" w:space="0" w:color="auto"/>
        <w:bottom w:val="none" w:sz="0" w:space="0" w:color="auto"/>
        <w:right w:val="none" w:sz="0" w:space="0" w:color="auto"/>
      </w:divBdr>
    </w:div>
    <w:div w:id="267280818">
      <w:bodyDiv w:val="1"/>
      <w:marLeft w:val="0"/>
      <w:marRight w:val="0"/>
      <w:marTop w:val="0"/>
      <w:marBottom w:val="0"/>
      <w:divBdr>
        <w:top w:val="none" w:sz="0" w:space="0" w:color="auto"/>
        <w:left w:val="none" w:sz="0" w:space="0" w:color="auto"/>
        <w:bottom w:val="none" w:sz="0" w:space="0" w:color="auto"/>
        <w:right w:val="none" w:sz="0" w:space="0" w:color="auto"/>
      </w:divBdr>
    </w:div>
    <w:div w:id="289362056">
      <w:bodyDiv w:val="1"/>
      <w:marLeft w:val="0"/>
      <w:marRight w:val="0"/>
      <w:marTop w:val="0"/>
      <w:marBottom w:val="0"/>
      <w:divBdr>
        <w:top w:val="none" w:sz="0" w:space="0" w:color="auto"/>
        <w:left w:val="none" w:sz="0" w:space="0" w:color="auto"/>
        <w:bottom w:val="none" w:sz="0" w:space="0" w:color="auto"/>
        <w:right w:val="none" w:sz="0" w:space="0" w:color="auto"/>
      </w:divBdr>
    </w:div>
    <w:div w:id="303431689">
      <w:bodyDiv w:val="1"/>
      <w:marLeft w:val="0"/>
      <w:marRight w:val="0"/>
      <w:marTop w:val="0"/>
      <w:marBottom w:val="0"/>
      <w:divBdr>
        <w:top w:val="none" w:sz="0" w:space="0" w:color="auto"/>
        <w:left w:val="none" w:sz="0" w:space="0" w:color="auto"/>
        <w:bottom w:val="none" w:sz="0" w:space="0" w:color="auto"/>
        <w:right w:val="none" w:sz="0" w:space="0" w:color="auto"/>
      </w:divBdr>
    </w:div>
    <w:div w:id="332145841">
      <w:bodyDiv w:val="1"/>
      <w:marLeft w:val="0"/>
      <w:marRight w:val="0"/>
      <w:marTop w:val="0"/>
      <w:marBottom w:val="0"/>
      <w:divBdr>
        <w:top w:val="none" w:sz="0" w:space="0" w:color="auto"/>
        <w:left w:val="none" w:sz="0" w:space="0" w:color="auto"/>
        <w:bottom w:val="none" w:sz="0" w:space="0" w:color="auto"/>
        <w:right w:val="none" w:sz="0" w:space="0" w:color="auto"/>
      </w:divBdr>
    </w:div>
    <w:div w:id="334573354">
      <w:bodyDiv w:val="1"/>
      <w:marLeft w:val="0"/>
      <w:marRight w:val="0"/>
      <w:marTop w:val="0"/>
      <w:marBottom w:val="0"/>
      <w:divBdr>
        <w:top w:val="none" w:sz="0" w:space="0" w:color="auto"/>
        <w:left w:val="none" w:sz="0" w:space="0" w:color="auto"/>
        <w:bottom w:val="none" w:sz="0" w:space="0" w:color="auto"/>
        <w:right w:val="none" w:sz="0" w:space="0" w:color="auto"/>
      </w:divBdr>
    </w:div>
    <w:div w:id="396633775">
      <w:bodyDiv w:val="1"/>
      <w:marLeft w:val="0"/>
      <w:marRight w:val="0"/>
      <w:marTop w:val="0"/>
      <w:marBottom w:val="0"/>
      <w:divBdr>
        <w:top w:val="none" w:sz="0" w:space="0" w:color="auto"/>
        <w:left w:val="none" w:sz="0" w:space="0" w:color="auto"/>
        <w:bottom w:val="none" w:sz="0" w:space="0" w:color="auto"/>
        <w:right w:val="none" w:sz="0" w:space="0" w:color="auto"/>
      </w:divBdr>
    </w:div>
    <w:div w:id="454906393">
      <w:bodyDiv w:val="1"/>
      <w:marLeft w:val="0"/>
      <w:marRight w:val="0"/>
      <w:marTop w:val="0"/>
      <w:marBottom w:val="0"/>
      <w:divBdr>
        <w:top w:val="none" w:sz="0" w:space="0" w:color="auto"/>
        <w:left w:val="none" w:sz="0" w:space="0" w:color="auto"/>
        <w:bottom w:val="none" w:sz="0" w:space="0" w:color="auto"/>
        <w:right w:val="none" w:sz="0" w:space="0" w:color="auto"/>
      </w:divBdr>
    </w:div>
    <w:div w:id="477888647">
      <w:bodyDiv w:val="1"/>
      <w:marLeft w:val="0"/>
      <w:marRight w:val="0"/>
      <w:marTop w:val="0"/>
      <w:marBottom w:val="0"/>
      <w:divBdr>
        <w:top w:val="none" w:sz="0" w:space="0" w:color="auto"/>
        <w:left w:val="none" w:sz="0" w:space="0" w:color="auto"/>
        <w:bottom w:val="none" w:sz="0" w:space="0" w:color="auto"/>
        <w:right w:val="none" w:sz="0" w:space="0" w:color="auto"/>
      </w:divBdr>
    </w:div>
    <w:div w:id="521166226">
      <w:bodyDiv w:val="1"/>
      <w:marLeft w:val="0"/>
      <w:marRight w:val="0"/>
      <w:marTop w:val="0"/>
      <w:marBottom w:val="0"/>
      <w:divBdr>
        <w:top w:val="none" w:sz="0" w:space="0" w:color="auto"/>
        <w:left w:val="none" w:sz="0" w:space="0" w:color="auto"/>
        <w:bottom w:val="none" w:sz="0" w:space="0" w:color="auto"/>
        <w:right w:val="none" w:sz="0" w:space="0" w:color="auto"/>
      </w:divBdr>
    </w:div>
    <w:div w:id="538781336">
      <w:bodyDiv w:val="1"/>
      <w:marLeft w:val="0"/>
      <w:marRight w:val="0"/>
      <w:marTop w:val="0"/>
      <w:marBottom w:val="0"/>
      <w:divBdr>
        <w:top w:val="none" w:sz="0" w:space="0" w:color="auto"/>
        <w:left w:val="none" w:sz="0" w:space="0" w:color="auto"/>
        <w:bottom w:val="none" w:sz="0" w:space="0" w:color="auto"/>
        <w:right w:val="none" w:sz="0" w:space="0" w:color="auto"/>
      </w:divBdr>
    </w:div>
    <w:div w:id="562568339">
      <w:bodyDiv w:val="1"/>
      <w:marLeft w:val="0"/>
      <w:marRight w:val="0"/>
      <w:marTop w:val="0"/>
      <w:marBottom w:val="0"/>
      <w:divBdr>
        <w:top w:val="none" w:sz="0" w:space="0" w:color="auto"/>
        <w:left w:val="none" w:sz="0" w:space="0" w:color="auto"/>
        <w:bottom w:val="none" w:sz="0" w:space="0" w:color="auto"/>
        <w:right w:val="none" w:sz="0" w:space="0" w:color="auto"/>
      </w:divBdr>
    </w:div>
    <w:div w:id="562838974">
      <w:bodyDiv w:val="1"/>
      <w:marLeft w:val="0"/>
      <w:marRight w:val="0"/>
      <w:marTop w:val="0"/>
      <w:marBottom w:val="0"/>
      <w:divBdr>
        <w:top w:val="none" w:sz="0" w:space="0" w:color="auto"/>
        <w:left w:val="none" w:sz="0" w:space="0" w:color="auto"/>
        <w:bottom w:val="none" w:sz="0" w:space="0" w:color="auto"/>
        <w:right w:val="none" w:sz="0" w:space="0" w:color="auto"/>
      </w:divBdr>
    </w:div>
    <w:div w:id="651831865">
      <w:bodyDiv w:val="1"/>
      <w:marLeft w:val="0"/>
      <w:marRight w:val="0"/>
      <w:marTop w:val="0"/>
      <w:marBottom w:val="0"/>
      <w:divBdr>
        <w:top w:val="none" w:sz="0" w:space="0" w:color="auto"/>
        <w:left w:val="none" w:sz="0" w:space="0" w:color="auto"/>
        <w:bottom w:val="none" w:sz="0" w:space="0" w:color="auto"/>
        <w:right w:val="none" w:sz="0" w:space="0" w:color="auto"/>
      </w:divBdr>
    </w:div>
    <w:div w:id="736822782">
      <w:bodyDiv w:val="1"/>
      <w:marLeft w:val="0"/>
      <w:marRight w:val="0"/>
      <w:marTop w:val="0"/>
      <w:marBottom w:val="0"/>
      <w:divBdr>
        <w:top w:val="none" w:sz="0" w:space="0" w:color="auto"/>
        <w:left w:val="none" w:sz="0" w:space="0" w:color="auto"/>
        <w:bottom w:val="none" w:sz="0" w:space="0" w:color="auto"/>
        <w:right w:val="none" w:sz="0" w:space="0" w:color="auto"/>
      </w:divBdr>
    </w:div>
    <w:div w:id="766342715">
      <w:bodyDiv w:val="1"/>
      <w:marLeft w:val="0"/>
      <w:marRight w:val="0"/>
      <w:marTop w:val="0"/>
      <w:marBottom w:val="0"/>
      <w:divBdr>
        <w:top w:val="none" w:sz="0" w:space="0" w:color="auto"/>
        <w:left w:val="none" w:sz="0" w:space="0" w:color="auto"/>
        <w:bottom w:val="none" w:sz="0" w:space="0" w:color="auto"/>
        <w:right w:val="none" w:sz="0" w:space="0" w:color="auto"/>
      </w:divBdr>
    </w:div>
    <w:div w:id="912470342">
      <w:bodyDiv w:val="1"/>
      <w:marLeft w:val="0"/>
      <w:marRight w:val="0"/>
      <w:marTop w:val="0"/>
      <w:marBottom w:val="0"/>
      <w:divBdr>
        <w:top w:val="none" w:sz="0" w:space="0" w:color="auto"/>
        <w:left w:val="none" w:sz="0" w:space="0" w:color="auto"/>
        <w:bottom w:val="none" w:sz="0" w:space="0" w:color="auto"/>
        <w:right w:val="none" w:sz="0" w:space="0" w:color="auto"/>
      </w:divBdr>
    </w:div>
    <w:div w:id="993070287">
      <w:bodyDiv w:val="1"/>
      <w:marLeft w:val="0"/>
      <w:marRight w:val="0"/>
      <w:marTop w:val="0"/>
      <w:marBottom w:val="0"/>
      <w:divBdr>
        <w:top w:val="none" w:sz="0" w:space="0" w:color="auto"/>
        <w:left w:val="none" w:sz="0" w:space="0" w:color="auto"/>
        <w:bottom w:val="none" w:sz="0" w:space="0" w:color="auto"/>
        <w:right w:val="none" w:sz="0" w:space="0" w:color="auto"/>
      </w:divBdr>
    </w:div>
    <w:div w:id="1045956422">
      <w:bodyDiv w:val="1"/>
      <w:marLeft w:val="0"/>
      <w:marRight w:val="0"/>
      <w:marTop w:val="0"/>
      <w:marBottom w:val="0"/>
      <w:divBdr>
        <w:top w:val="none" w:sz="0" w:space="0" w:color="auto"/>
        <w:left w:val="none" w:sz="0" w:space="0" w:color="auto"/>
        <w:bottom w:val="none" w:sz="0" w:space="0" w:color="auto"/>
        <w:right w:val="none" w:sz="0" w:space="0" w:color="auto"/>
      </w:divBdr>
    </w:div>
    <w:div w:id="1080755550">
      <w:bodyDiv w:val="1"/>
      <w:marLeft w:val="0"/>
      <w:marRight w:val="0"/>
      <w:marTop w:val="0"/>
      <w:marBottom w:val="0"/>
      <w:divBdr>
        <w:top w:val="none" w:sz="0" w:space="0" w:color="auto"/>
        <w:left w:val="none" w:sz="0" w:space="0" w:color="auto"/>
        <w:bottom w:val="none" w:sz="0" w:space="0" w:color="auto"/>
        <w:right w:val="none" w:sz="0" w:space="0" w:color="auto"/>
      </w:divBdr>
    </w:div>
    <w:div w:id="1149592253">
      <w:bodyDiv w:val="1"/>
      <w:marLeft w:val="0"/>
      <w:marRight w:val="0"/>
      <w:marTop w:val="0"/>
      <w:marBottom w:val="0"/>
      <w:divBdr>
        <w:top w:val="none" w:sz="0" w:space="0" w:color="auto"/>
        <w:left w:val="none" w:sz="0" w:space="0" w:color="auto"/>
        <w:bottom w:val="none" w:sz="0" w:space="0" w:color="auto"/>
        <w:right w:val="none" w:sz="0" w:space="0" w:color="auto"/>
      </w:divBdr>
    </w:div>
    <w:div w:id="1152330358">
      <w:bodyDiv w:val="1"/>
      <w:marLeft w:val="0"/>
      <w:marRight w:val="0"/>
      <w:marTop w:val="0"/>
      <w:marBottom w:val="0"/>
      <w:divBdr>
        <w:top w:val="none" w:sz="0" w:space="0" w:color="auto"/>
        <w:left w:val="none" w:sz="0" w:space="0" w:color="auto"/>
        <w:bottom w:val="none" w:sz="0" w:space="0" w:color="auto"/>
        <w:right w:val="none" w:sz="0" w:space="0" w:color="auto"/>
      </w:divBdr>
    </w:div>
    <w:div w:id="1185098669">
      <w:bodyDiv w:val="1"/>
      <w:marLeft w:val="0"/>
      <w:marRight w:val="0"/>
      <w:marTop w:val="0"/>
      <w:marBottom w:val="0"/>
      <w:divBdr>
        <w:top w:val="none" w:sz="0" w:space="0" w:color="auto"/>
        <w:left w:val="none" w:sz="0" w:space="0" w:color="auto"/>
        <w:bottom w:val="none" w:sz="0" w:space="0" w:color="auto"/>
        <w:right w:val="none" w:sz="0" w:space="0" w:color="auto"/>
      </w:divBdr>
    </w:div>
    <w:div w:id="1271819518">
      <w:bodyDiv w:val="1"/>
      <w:marLeft w:val="0"/>
      <w:marRight w:val="0"/>
      <w:marTop w:val="0"/>
      <w:marBottom w:val="0"/>
      <w:divBdr>
        <w:top w:val="none" w:sz="0" w:space="0" w:color="auto"/>
        <w:left w:val="none" w:sz="0" w:space="0" w:color="auto"/>
        <w:bottom w:val="none" w:sz="0" w:space="0" w:color="auto"/>
        <w:right w:val="none" w:sz="0" w:space="0" w:color="auto"/>
      </w:divBdr>
    </w:div>
    <w:div w:id="1354696610">
      <w:bodyDiv w:val="1"/>
      <w:marLeft w:val="0"/>
      <w:marRight w:val="0"/>
      <w:marTop w:val="0"/>
      <w:marBottom w:val="0"/>
      <w:divBdr>
        <w:top w:val="none" w:sz="0" w:space="0" w:color="auto"/>
        <w:left w:val="none" w:sz="0" w:space="0" w:color="auto"/>
        <w:bottom w:val="none" w:sz="0" w:space="0" w:color="auto"/>
        <w:right w:val="none" w:sz="0" w:space="0" w:color="auto"/>
      </w:divBdr>
    </w:div>
    <w:div w:id="1501655636">
      <w:bodyDiv w:val="1"/>
      <w:marLeft w:val="0"/>
      <w:marRight w:val="0"/>
      <w:marTop w:val="0"/>
      <w:marBottom w:val="0"/>
      <w:divBdr>
        <w:top w:val="none" w:sz="0" w:space="0" w:color="auto"/>
        <w:left w:val="none" w:sz="0" w:space="0" w:color="auto"/>
        <w:bottom w:val="none" w:sz="0" w:space="0" w:color="auto"/>
        <w:right w:val="none" w:sz="0" w:space="0" w:color="auto"/>
      </w:divBdr>
    </w:div>
    <w:div w:id="1577473951">
      <w:bodyDiv w:val="1"/>
      <w:marLeft w:val="0"/>
      <w:marRight w:val="0"/>
      <w:marTop w:val="0"/>
      <w:marBottom w:val="0"/>
      <w:divBdr>
        <w:top w:val="none" w:sz="0" w:space="0" w:color="auto"/>
        <w:left w:val="none" w:sz="0" w:space="0" w:color="auto"/>
        <w:bottom w:val="none" w:sz="0" w:space="0" w:color="auto"/>
        <w:right w:val="none" w:sz="0" w:space="0" w:color="auto"/>
      </w:divBdr>
    </w:div>
    <w:div w:id="1737360455">
      <w:bodyDiv w:val="1"/>
      <w:marLeft w:val="0"/>
      <w:marRight w:val="0"/>
      <w:marTop w:val="0"/>
      <w:marBottom w:val="0"/>
      <w:divBdr>
        <w:top w:val="none" w:sz="0" w:space="0" w:color="auto"/>
        <w:left w:val="none" w:sz="0" w:space="0" w:color="auto"/>
        <w:bottom w:val="none" w:sz="0" w:space="0" w:color="auto"/>
        <w:right w:val="none" w:sz="0" w:space="0" w:color="auto"/>
      </w:divBdr>
    </w:div>
    <w:div w:id="1861510926">
      <w:bodyDiv w:val="1"/>
      <w:marLeft w:val="0"/>
      <w:marRight w:val="0"/>
      <w:marTop w:val="0"/>
      <w:marBottom w:val="0"/>
      <w:divBdr>
        <w:top w:val="none" w:sz="0" w:space="0" w:color="auto"/>
        <w:left w:val="none" w:sz="0" w:space="0" w:color="auto"/>
        <w:bottom w:val="none" w:sz="0" w:space="0" w:color="auto"/>
        <w:right w:val="none" w:sz="0" w:space="0" w:color="auto"/>
      </w:divBdr>
    </w:div>
    <w:div w:id="1865513804">
      <w:bodyDiv w:val="1"/>
      <w:marLeft w:val="0"/>
      <w:marRight w:val="0"/>
      <w:marTop w:val="0"/>
      <w:marBottom w:val="0"/>
      <w:divBdr>
        <w:top w:val="none" w:sz="0" w:space="0" w:color="auto"/>
        <w:left w:val="none" w:sz="0" w:space="0" w:color="auto"/>
        <w:bottom w:val="none" w:sz="0" w:space="0" w:color="auto"/>
        <w:right w:val="none" w:sz="0" w:space="0" w:color="auto"/>
      </w:divBdr>
    </w:div>
    <w:div w:id="1886864318">
      <w:bodyDiv w:val="1"/>
      <w:marLeft w:val="0"/>
      <w:marRight w:val="0"/>
      <w:marTop w:val="0"/>
      <w:marBottom w:val="0"/>
      <w:divBdr>
        <w:top w:val="none" w:sz="0" w:space="0" w:color="auto"/>
        <w:left w:val="none" w:sz="0" w:space="0" w:color="auto"/>
        <w:bottom w:val="none" w:sz="0" w:space="0" w:color="auto"/>
        <w:right w:val="none" w:sz="0" w:space="0" w:color="auto"/>
      </w:divBdr>
    </w:div>
    <w:div w:id="1903055164">
      <w:bodyDiv w:val="1"/>
      <w:marLeft w:val="0"/>
      <w:marRight w:val="0"/>
      <w:marTop w:val="0"/>
      <w:marBottom w:val="0"/>
      <w:divBdr>
        <w:top w:val="none" w:sz="0" w:space="0" w:color="auto"/>
        <w:left w:val="none" w:sz="0" w:space="0" w:color="auto"/>
        <w:bottom w:val="none" w:sz="0" w:space="0" w:color="auto"/>
        <w:right w:val="none" w:sz="0" w:space="0" w:color="auto"/>
      </w:divBdr>
    </w:div>
    <w:div w:id="1944725140">
      <w:bodyDiv w:val="1"/>
      <w:marLeft w:val="0"/>
      <w:marRight w:val="0"/>
      <w:marTop w:val="0"/>
      <w:marBottom w:val="0"/>
      <w:divBdr>
        <w:top w:val="none" w:sz="0" w:space="0" w:color="auto"/>
        <w:left w:val="none" w:sz="0" w:space="0" w:color="auto"/>
        <w:bottom w:val="none" w:sz="0" w:space="0" w:color="auto"/>
        <w:right w:val="none" w:sz="0" w:space="0" w:color="auto"/>
      </w:divBdr>
    </w:div>
    <w:div w:id="2105684032">
      <w:bodyDiv w:val="1"/>
      <w:marLeft w:val="0"/>
      <w:marRight w:val="0"/>
      <w:marTop w:val="0"/>
      <w:marBottom w:val="0"/>
      <w:divBdr>
        <w:top w:val="none" w:sz="0" w:space="0" w:color="auto"/>
        <w:left w:val="none" w:sz="0" w:space="0" w:color="auto"/>
        <w:bottom w:val="none" w:sz="0" w:space="0" w:color="auto"/>
        <w:right w:val="none" w:sz="0" w:space="0" w:color="auto"/>
      </w:divBdr>
    </w:div>
    <w:div w:id="211617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boley@smmt.co.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smmt.co.uk/wp-content/uploads/sites/2/SMMT-Motor-Industry-Facts-JULY-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butcher@smmt.co.uk"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sclarke@smmt.co.uk" TargetMode="External"/><Relationship Id="rId10" Type="http://schemas.openxmlformats.org/officeDocument/2006/relationships/endnotes" Target="endnotes.xml"/><Relationship Id="rId19" Type="http://schemas.openxmlformats.org/officeDocument/2006/relationships/hyperlink" Target="https://www.smmt.co.uk/wp-content/uploads/sites/2/SMMT-Fuelling-the-Fleet-Driving-Commercial-Vehicle-Decarbonis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mailto:dzealander@smmt.co.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055218C189804F81C5826E23909416" ma:contentTypeVersion="7" ma:contentTypeDescription="Create a new document." ma:contentTypeScope="" ma:versionID="a53d1165c6c58817f7cae40490e149c4">
  <xsd:schema xmlns:xsd="http://www.w3.org/2001/XMLSchema" xmlns:xs="http://www.w3.org/2001/XMLSchema" xmlns:p="http://schemas.microsoft.com/office/2006/metadata/properties" xmlns:ns3="ffbee130-eec0-4edf-b9aa-a6b282df23e3" xmlns:ns4="75681c2a-459a-44d8-9df4-e230b319551e" targetNamespace="http://schemas.microsoft.com/office/2006/metadata/properties" ma:root="true" ma:fieldsID="d6c74d0471b8ce96325c4087b141b939" ns3:_="" ns4:_="">
    <xsd:import namespace="ffbee130-eec0-4edf-b9aa-a6b282df23e3"/>
    <xsd:import namespace="75681c2a-459a-44d8-9df4-e230b31955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e130-eec0-4edf-b9aa-a6b282df2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81c2a-459a-44d8-9df4-e230b31955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582AE-813C-4329-92DA-359CFF3AB492}">
  <ds:schemaRefs>
    <ds:schemaRef ds:uri="http://schemas.microsoft.com/sharepoint/v3/contenttype/forms"/>
  </ds:schemaRefs>
</ds:datastoreItem>
</file>

<file path=customXml/itemProps2.xml><?xml version="1.0" encoding="utf-8"?>
<ds:datastoreItem xmlns:ds="http://schemas.openxmlformats.org/officeDocument/2006/customXml" ds:itemID="{C053F4A4-8387-415E-A75A-157A1281BFFD}">
  <ds:schemaRefs>
    <ds:schemaRef ds:uri="http://schemas.openxmlformats.org/officeDocument/2006/bibliography"/>
  </ds:schemaRefs>
</ds:datastoreItem>
</file>

<file path=customXml/itemProps3.xml><?xml version="1.0" encoding="utf-8"?>
<ds:datastoreItem xmlns:ds="http://schemas.openxmlformats.org/officeDocument/2006/customXml" ds:itemID="{5226504B-98DD-4987-B7EF-4AFAA297B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e130-eec0-4edf-b9aa-a6b282df23e3"/>
    <ds:schemaRef ds:uri="75681c2a-459a-44d8-9df4-e230b319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C4E54-D68C-4D45-847B-C0524D4365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Bielby</dc:creator>
  <cp:lastModifiedBy>Scott Clarke</cp:lastModifiedBy>
  <cp:revision>44</cp:revision>
  <cp:lastPrinted>2021-02-10T14:31:00Z</cp:lastPrinted>
  <dcterms:created xsi:type="dcterms:W3CDTF">2022-02-14T17:51:00Z</dcterms:created>
  <dcterms:modified xsi:type="dcterms:W3CDTF">2022-02-16T16:19:00Z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0x01010072055218C189804F81C5826E23909416</vt:lpwstr>
  </property>
</Properties>
</file>